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2.xml" ContentType="application/vnd.openxmlformats-officedocument.themeOverride+xml"/>
  <Override PartName="/word/charts/chart6.xml" ContentType="application/vnd.openxmlformats-officedocument.drawingml.chart+xml"/>
  <Override PartName="/word/theme/themeOverride3.xml" ContentType="application/vnd.openxmlformats-officedocument.themeOverride+xml"/>
  <Override PartName="/word/charts/chart7.xml" ContentType="application/vnd.openxmlformats-officedocument.drawingml.chart+xml"/>
  <Override PartName="/word/theme/themeOverride4.xml" ContentType="application/vnd.openxmlformats-officedocument.themeOverride+xml"/>
  <Override PartName="/word/charts/chart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17A" w:rsidRPr="004601D7" w:rsidRDefault="0081017A" w:rsidP="00F74106">
      <w:pPr>
        <w:pStyle w:val="Title"/>
        <w:bidi w:val="0"/>
        <w:rPr>
          <w:sz w:val="20"/>
          <w:szCs w:val="20"/>
        </w:rPr>
      </w:pPr>
      <w:r w:rsidRPr="004601D7">
        <w:rPr>
          <w:sz w:val="20"/>
          <w:szCs w:val="20"/>
        </w:rPr>
        <w:t>Chapter One</w:t>
      </w:r>
    </w:p>
    <w:p w:rsidR="000A09DD" w:rsidRPr="004601D7" w:rsidRDefault="000A09DD" w:rsidP="000A09DD">
      <w:pPr>
        <w:pStyle w:val="Title"/>
        <w:bidi w:val="0"/>
        <w:rPr>
          <w:sz w:val="20"/>
          <w:szCs w:val="20"/>
        </w:rPr>
      </w:pPr>
    </w:p>
    <w:p w:rsidR="006A480D" w:rsidRPr="004601D7" w:rsidRDefault="006A480D" w:rsidP="0081017A">
      <w:pPr>
        <w:pStyle w:val="Title"/>
        <w:bidi w:val="0"/>
        <w:rPr>
          <w:szCs w:val="24"/>
        </w:rPr>
      </w:pPr>
      <w:r w:rsidRPr="004601D7">
        <w:rPr>
          <w:szCs w:val="24"/>
        </w:rPr>
        <w:t>Summary</w:t>
      </w:r>
    </w:p>
    <w:p w:rsidR="006A480D" w:rsidRPr="004601D7" w:rsidRDefault="006A480D" w:rsidP="006A480D">
      <w:pPr>
        <w:pStyle w:val="Title"/>
        <w:bidi w:val="0"/>
        <w:rPr>
          <w:sz w:val="20"/>
          <w:szCs w:val="20"/>
        </w:rPr>
      </w:pPr>
    </w:p>
    <w:p w:rsidR="00D12C4F" w:rsidRPr="004601D7" w:rsidRDefault="00387F72" w:rsidP="0021776D">
      <w:pPr>
        <w:pStyle w:val="Title"/>
        <w:bidi w:val="0"/>
        <w:rPr>
          <w:rFonts w:cs="Traditional Arabic"/>
          <w:szCs w:val="24"/>
        </w:rPr>
      </w:pPr>
      <w:r>
        <w:pict>
          <v:rect id="_x0000_s1026" style="position:absolute;left:0;text-align:left;margin-left:297.25pt;margin-top:-2.95pt;width:42pt;height:24pt;z-index:251660800">
            <v:textbox style="mso-next-textbox:#_x0000_s1026">
              <w:txbxContent>
                <w:p w:rsidR="008832A6" w:rsidRDefault="008832A6" w:rsidP="00045CF3">
                  <w:pPr>
                    <w:jc w:val="center"/>
                    <w:rPr>
                      <w:b/>
                      <w:bCs/>
                      <w:sz w:val="28"/>
                      <w:szCs w:val="28"/>
                    </w:rPr>
                  </w:pPr>
                  <w:r>
                    <w:rPr>
                      <w:sz w:val="28"/>
                    </w:rPr>
                    <w:t>1.1</w:t>
                  </w:r>
                </w:p>
              </w:txbxContent>
            </v:textbox>
          </v:rect>
        </w:pict>
      </w:r>
      <w:r w:rsidR="00045CF3" w:rsidRPr="004601D7">
        <w:rPr>
          <w:sz w:val="20"/>
          <w:szCs w:val="20"/>
        </w:rPr>
        <w:t>Palestinians in Palestin</w:t>
      </w:r>
      <w:r w:rsidR="0021776D" w:rsidRPr="004601D7">
        <w:rPr>
          <w:sz w:val="20"/>
          <w:szCs w:val="20"/>
        </w:rPr>
        <w:t>e</w:t>
      </w:r>
      <w:r w:rsidR="00045CF3" w:rsidRPr="004601D7">
        <w:rPr>
          <w:sz w:val="20"/>
          <w:szCs w:val="20"/>
        </w:rPr>
        <w:t xml:space="preserve"> </w:t>
      </w:r>
    </w:p>
    <w:p w:rsidR="00045CF3" w:rsidRPr="004601D7" w:rsidRDefault="00045CF3" w:rsidP="00F74106">
      <w:pPr>
        <w:jc w:val="center"/>
      </w:pPr>
      <w:r w:rsidRPr="004601D7">
        <w:rPr>
          <w:b/>
          <w:bCs/>
        </w:rPr>
        <w:t>(West Bank and Gaza Strip)</w:t>
      </w:r>
      <w:r w:rsidR="00D12C4F" w:rsidRPr="004601D7">
        <w:t xml:space="preserve"> </w:t>
      </w:r>
    </w:p>
    <w:p w:rsidR="00527986" w:rsidRPr="004601D7" w:rsidRDefault="00527986" w:rsidP="00F74106">
      <w:pPr>
        <w:jc w:val="center"/>
      </w:pPr>
    </w:p>
    <w:p w:rsidR="00254E3E" w:rsidRPr="004601D7" w:rsidRDefault="00254E3E" w:rsidP="00254E3E">
      <w:pPr>
        <w:pStyle w:val="Title"/>
        <w:numPr>
          <w:ilvl w:val="0"/>
          <w:numId w:val="19"/>
        </w:numPr>
        <w:bidi w:val="0"/>
        <w:ind w:left="252" w:hanging="252"/>
        <w:jc w:val="left"/>
        <w:rPr>
          <w:rFonts w:cs="Traditional Arabic"/>
          <w:noProof w:val="0"/>
          <w:sz w:val="20"/>
          <w:szCs w:val="20"/>
          <w:rtl/>
        </w:rPr>
      </w:pPr>
      <w:r w:rsidRPr="004601D7">
        <w:rPr>
          <w:rFonts w:cs="Traditional Arabic"/>
          <w:sz w:val="20"/>
          <w:szCs w:val="20"/>
        </w:rPr>
        <w:t xml:space="preserve">Population                                                         </w:t>
      </w:r>
    </w:p>
    <w:p w:rsidR="006D03FF" w:rsidRPr="004601D7" w:rsidRDefault="006D03FF" w:rsidP="00007BF1">
      <w:pPr>
        <w:pStyle w:val="BodyText2"/>
        <w:numPr>
          <w:ilvl w:val="0"/>
          <w:numId w:val="26"/>
        </w:numPr>
        <w:overflowPunct/>
        <w:autoSpaceDE/>
        <w:autoSpaceDN/>
        <w:adjustRightInd/>
        <w:ind w:left="357" w:hanging="357"/>
        <w:textAlignment w:val="auto"/>
      </w:pPr>
      <w:r w:rsidRPr="004601D7">
        <w:t>The population of Palestine was estimated at 5.10 million in mid-2020: 3.05 million in the West Bank and 2.05 million in Gaza Strip.</w:t>
      </w:r>
    </w:p>
    <w:p w:rsidR="006D03FF" w:rsidRPr="004601D7" w:rsidRDefault="00387F72" w:rsidP="00007BF1">
      <w:pPr>
        <w:pStyle w:val="BodyText2"/>
        <w:numPr>
          <w:ilvl w:val="0"/>
          <w:numId w:val="26"/>
        </w:numPr>
        <w:overflowPunct/>
        <w:autoSpaceDE/>
        <w:autoSpaceDN/>
        <w:adjustRightInd/>
        <w:ind w:left="357" w:hanging="357"/>
        <w:textAlignment w:val="auto"/>
        <w:rPr>
          <w:noProof/>
        </w:rPr>
      </w:pPr>
      <w:r>
        <w:rPr>
          <w:noProof/>
        </w:rPr>
        <w:pict>
          <v:rect id="_x0000_s1030" style="position:absolute;left:0;text-align:left;margin-left:134pt;margin-top:23.45pt;width:239.7pt;height:15.8pt;z-index:251666432" stroked="f">
            <v:textbox>
              <w:txbxContent>
                <w:p w:rsidR="00613BC8" w:rsidRPr="00613BC8" w:rsidRDefault="00613BC8" w:rsidP="00613BC8">
                  <w:pPr>
                    <w:jc w:val="center"/>
                    <w:rPr>
                      <w:b/>
                      <w:bCs/>
                      <w:sz w:val="16"/>
                      <w:szCs w:val="16"/>
                    </w:rPr>
                  </w:pPr>
                  <w:r w:rsidRPr="00613BC8">
                    <w:rPr>
                      <w:rFonts w:ascii="Arial" w:hAnsi="Arial" w:cs="Arial"/>
                      <w:b/>
                      <w:bCs/>
                      <w:noProof/>
                      <w:sz w:val="14"/>
                      <w:szCs w:val="14"/>
                      <w:lang w:val="en-GB"/>
                    </w:rPr>
                    <w:t>Estimated Population in Palestine</w:t>
                  </w:r>
                  <w:r w:rsidRPr="00613BC8">
                    <w:rPr>
                      <w:rFonts w:ascii="Arial" w:hAnsi="Arial" w:cs="Arial"/>
                      <w:b/>
                      <w:bCs/>
                      <w:sz w:val="14"/>
                      <w:szCs w:val="14"/>
                    </w:rPr>
                    <w:t xml:space="preserve"> by</w:t>
                  </w:r>
                  <w:r w:rsidRPr="00613BC8">
                    <w:rPr>
                      <w:b/>
                      <w:bCs/>
                      <w:sz w:val="16"/>
                      <w:szCs w:val="16"/>
                    </w:rPr>
                    <w:t xml:space="preserve"> </w:t>
                  </w:r>
                  <w:r w:rsidRPr="00613BC8">
                    <w:rPr>
                      <w:rFonts w:ascii="Arial" w:hAnsi="Arial" w:cs="Arial"/>
                      <w:b/>
                      <w:bCs/>
                      <w:noProof/>
                      <w:sz w:val="14"/>
                      <w:szCs w:val="14"/>
                      <w:lang w:val="en-GB"/>
                    </w:rPr>
                    <w:t>Governorate</w:t>
                  </w:r>
                  <w:r w:rsidRPr="00613BC8">
                    <w:rPr>
                      <w:b/>
                      <w:bCs/>
                      <w:sz w:val="16"/>
                      <w:szCs w:val="16"/>
                    </w:rPr>
                    <w:t xml:space="preserve"> </w:t>
                  </w:r>
                  <w:r w:rsidRPr="00613BC8">
                    <w:rPr>
                      <w:rFonts w:ascii="Arial" w:hAnsi="Arial" w:cs="Arial"/>
                      <w:b/>
                      <w:bCs/>
                      <w:sz w:val="12"/>
                      <w:szCs w:val="12"/>
                    </w:rPr>
                    <w:t>(Mid-Year 2020)</w:t>
                  </w:r>
                </w:p>
              </w:txbxContent>
            </v:textbox>
            <w10:wrap anchorx="page"/>
          </v:rect>
        </w:pict>
      </w:r>
      <w:r w:rsidR="008D77D8" w:rsidRPr="004601D7">
        <w:rPr>
          <w:noProof/>
        </w:rPr>
        <w:drawing>
          <wp:anchor distT="0" distB="0" distL="114300" distR="114300" simplePos="0" relativeHeight="251656704" behindDoc="0" locked="0" layoutInCell="1" allowOverlap="1">
            <wp:simplePos x="0" y="0"/>
            <wp:positionH relativeFrom="column">
              <wp:posOffset>1629410</wp:posOffset>
            </wp:positionH>
            <wp:positionV relativeFrom="paragraph">
              <wp:posOffset>245745</wp:posOffset>
            </wp:positionV>
            <wp:extent cx="3156585" cy="4240530"/>
            <wp:effectExtent l="19050" t="19050" r="5715" b="7620"/>
            <wp:wrapSquare wrapText="bothSides"/>
            <wp:docPr id="1" name="Picture 1" descr="G:\كتاب فلسطين الاحصائي السنوي 2020 نهائي\كتاب فلسطين الاحصائي السنوي 2020-PHCD\خرائط\Population_2020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كتاب فلسطين الاحصائي السنوي 2020 نهائي\كتاب فلسطين الاحصائي السنوي 2020-PHCD\خرائط\Population_2020_En.png"/>
                    <pic:cNvPicPr>
                      <a:picLocks noChangeAspect="1" noChangeArrowheads="1"/>
                    </pic:cNvPicPr>
                  </pic:nvPicPr>
                  <pic:blipFill rotWithShape="1">
                    <a:blip r:embed="rId8">
                      <a:extLst>
                        <a:ext uri="{28A0092B-C50C-407E-A947-70E740481C1C}">
                          <a14:useLocalDpi xmlns:a14="http://schemas.microsoft.com/office/drawing/2010/main" val="0"/>
                        </a:ext>
                      </a:extLst>
                    </a:blip>
                    <a:srcRect l="8634" t="12696" r="7751" b="17073"/>
                    <a:stretch/>
                  </pic:blipFill>
                  <pic:spPr bwMode="auto">
                    <a:xfrm>
                      <a:off x="0" y="0"/>
                      <a:ext cx="3156585" cy="4240530"/>
                    </a:xfrm>
                    <a:prstGeom prst="rect">
                      <a:avLst/>
                    </a:prstGeom>
                    <a:noFill/>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D03FF" w:rsidRPr="004601D7">
        <w:rPr>
          <w:noProof/>
        </w:rPr>
        <w:t xml:space="preserve">The population of Palestine is young: </w:t>
      </w:r>
      <w:r w:rsidR="00D44937" w:rsidRPr="004601D7">
        <w:rPr>
          <w:noProof/>
        </w:rPr>
        <w:t>38.</w:t>
      </w:r>
      <w:r w:rsidR="00C41B5B" w:rsidRPr="004601D7">
        <w:rPr>
          <w:noProof/>
        </w:rPr>
        <w:t>0</w:t>
      </w:r>
      <w:r w:rsidR="006D03FF" w:rsidRPr="004601D7">
        <w:rPr>
          <w:noProof/>
        </w:rPr>
        <w:t>% of the total population were under 15 years in mid-2020: 36.1% in the West Bank and 41.3% in Gaza Strip.  Persons aged 65 and above constituted 3.3% of the total population: 3.</w:t>
      </w:r>
      <w:r w:rsidR="00D44937" w:rsidRPr="004601D7">
        <w:rPr>
          <w:noProof/>
        </w:rPr>
        <w:t>5</w:t>
      </w:r>
      <w:r w:rsidR="006D03FF" w:rsidRPr="004601D7">
        <w:rPr>
          <w:noProof/>
        </w:rPr>
        <w:t>% in the West Bank and 2.</w:t>
      </w:r>
      <w:r w:rsidR="00D44937" w:rsidRPr="004601D7">
        <w:rPr>
          <w:noProof/>
        </w:rPr>
        <w:t>9</w:t>
      </w:r>
      <w:r w:rsidR="006D03FF" w:rsidRPr="004601D7">
        <w:rPr>
          <w:noProof/>
        </w:rPr>
        <w:t>% in Gaza Strip. </w:t>
      </w:r>
    </w:p>
    <w:p w:rsidR="006D03FF" w:rsidRPr="004601D7" w:rsidRDefault="006D03FF" w:rsidP="00007BF1">
      <w:pPr>
        <w:pStyle w:val="BodyText2"/>
        <w:numPr>
          <w:ilvl w:val="0"/>
          <w:numId w:val="26"/>
        </w:numPr>
        <w:overflowPunct/>
        <w:autoSpaceDE/>
        <w:autoSpaceDN/>
        <w:adjustRightInd/>
        <w:ind w:left="357" w:hanging="357"/>
        <w:textAlignment w:val="auto"/>
        <w:rPr>
          <w:noProof/>
        </w:rPr>
      </w:pPr>
      <w:r w:rsidRPr="004601D7">
        <w:rPr>
          <w:noProof/>
        </w:rPr>
        <w:t xml:space="preserve">The total fertility rate in Palestine between </w:t>
      </w:r>
      <w:r w:rsidR="00C41B5B" w:rsidRPr="004601D7">
        <w:rPr>
          <w:noProof/>
        </w:rPr>
        <w:t>2017</w:t>
      </w:r>
      <w:r w:rsidRPr="004601D7">
        <w:rPr>
          <w:noProof/>
        </w:rPr>
        <w:t xml:space="preserve"> and </w:t>
      </w:r>
      <w:r w:rsidR="00C41B5B" w:rsidRPr="004601D7">
        <w:rPr>
          <w:noProof/>
        </w:rPr>
        <w:t>2019</w:t>
      </w:r>
      <w:r w:rsidRPr="004601D7">
        <w:rPr>
          <w:noProof/>
        </w:rPr>
        <w:t xml:space="preserve"> was </w:t>
      </w:r>
      <w:r w:rsidR="00C41B5B" w:rsidRPr="004601D7">
        <w:rPr>
          <w:noProof/>
        </w:rPr>
        <w:t>3.8</w:t>
      </w:r>
      <w:r w:rsidRPr="004601D7">
        <w:rPr>
          <w:noProof/>
        </w:rPr>
        <w:t xml:space="preserve"> births: </w:t>
      </w:r>
      <w:r w:rsidR="00C41B5B" w:rsidRPr="004601D7">
        <w:rPr>
          <w:noProof/>
        </w:rPr>
        <w:t>3.8</w:t>
      </w:r>
      <w:r w:rsidRPr="004601D7">
        <w:rPr>
          <w:noProof/>
        </w:rPr>
        <w:t xml:space="preserve"> births in the West Bank and </w:t>
      </w:r>
      <w:r w:rsidR="00C41B5B" w:rsidRPr="004601D7">
        <w:rPr>
          <w:noProof/>
        </w:rPr>
        <w:t>3.9</w:t>
      </w:r>
      <w:r w:rsidRPr="004601D7">
        <w:rPr>
          <w:noProof/>
        </w:rPr>
        <w:t xml:space="preserve"> births in Gaza Strip.</w:t>
      </w:r>
    </w:p>
    <w:p w:rsidR="006D03FF" w:rsidRPr="004601D7" w:rsidRDefault="006D03FF" w:rsidP="00007BF1">
      <w:pPr>
        <w:pStyle w:val="BodyText2"/>
        <w:numPr>
          <w:ilvl w:val="0"/>
          <w:numId w:val="26"/>
        </w:numPr>
        <w:overflowPunct/>
        <w:autoSpaceDE/>
        <w:autoSpaceDN/>
        <w:adjustRightInd/>
        <w:ind w:left="357" w:hanging="357"/>
        <w:textAlignment w:val="auto"/>
        <w:rPr>
          <w:noProof/>
        </w:rPr>
      </w:pPr>
      <w:r w:rsidRPr="004601D7">
        <w:rPr>
          <w:noProof/>
        </w:rPr>
        <w:t>The Annual estimated growth rate of the Palestinian population was 2.5% in Palestine in mid 2020: 2.2% in the West Bank and 2.9% in Gaza Strip.</w:t>
      </w:r>
    </w:p>
    <w:p w:rsidR="006D03FF" w:rsidRDefault="006D03FF" w:rsidP="00007BF1">
      <w:pPr>
        <w:pStyle w:val="BodyText2"/>
        <w:numPr>
          <w:ilvl w:val="0"/>
          <w:numId w:val="26"/>
        </w:numPr>
        <w:overflowPunct/>
        <w:autoSpaceDE/>
        <w:autoSpaceDN/>
        <w:adjustRightInd/>
        <w:ind w:left="357" w:hanging="357"/>
        <w:textAlignment w:val="auto"/>
        <w:rPr>
          <w:noProof/>
        </w:rPr>
      </w:pPr>
      <w:r w:rsidRPr="004601D7">
        <w:rPr>
          <w:noProof/>
        </w:rPr>
        <w:t>In 2020, life expectancy at birth in Palestine was 74.1 years: 73.0 years for males and 75.3 years for females.</w:t>
      </w:r>
    </w:p>
    <w:p w:rsidR="006D03FF" w:rsidRPr="004601D7" w:rsidRDefault="006D03FF" w:rsidP="00007BF1">
      <w:pPr>
        <w:pStyle w:val="BodyText2"/>
        <w:numPr>
          <w:ilvl w:val="0"/>
          <w:numId w:val="26"/>
        </w:numPr>
        <w:overflowPunct/>
        <w:autoSpaceDE/>
        <w:autoSpaceDN/>
        <w:adjustRightInd/>
        <w:ind w:left="357" w:hanging="357"/>
        <w:textAlignment w:val="auto"/>
        <w:rPr>
          <w:noProof/>
        </w:rPr>
      </w:pPr>
      <w:r w:rsidRPr="004601D7">
        <w:rPr>
          <w:noProof/>
        </w:rPr>
        <w:t>In 2017, Palestinian refugees constituted 42.2% of the total population: 26.3% in the West Bank and 66.1% in Gaza Strip.</w:t>
      </w:r>
    </w:p>
    <w:p w:rsidR="006D03FF" w:rsidRDefault="006D03FF" w:rsidP="00007BF1">
      <w:pPr>
        <w:pStyle w:val="BodyText2"/>
        <w:numPr>
          <w:ilvl w:val="0"/>
          <w:numId w:val="26"/>
        </w:numPr>
        <w:overflowPunct/>
        <w:autoSpaceDE/>
        <w:autoSpaceDN/>
        <w:adjustRightInd/>
        <w:ind w:left="357" w:hanging="357"/>
        <w:textAlignment w:val="auto"/>
        <w:rPr>
          <w:noProof/>
        </w:rPr>
      </w:pPr>
      <w:r w:rsidRPr="004601D7">
        <w:rPr>
          <w:noProof/>
        </w:rPr>
        <w:t xml:space="preserve">The average household size in Palestine was 5.1 persons in 2019: 4.9 </w:t>
      </w:r>
      <w:r w:rsidR="00C41B5B" w:rsidRPr="004601D7">
        <w:rPr>
          <w:noProof/>
        </w:rPr>
        <w:t xml:space="preserve">persons </w:t>
      </w:r>
      <w:r w:rsidRPr="004601D7">
        <w:rPr>
          <w:noProof/>
        </w:rPr>
        <w:t xml:space="preserve">in the West Bank and 5.5 </w:t>
      </w:r>
      <w:r w:rsidR="00C41B5B" w:rsidRPr="004601D7">
        <w:rPr>
          <w:noProof/>
        </w:rPr>
        <w:t xml:space="preserve">persons </w:t>
      </w:r>
      <w:r w:rsidRPr="004601D7">
        <w:rPr>
          <w:noProof/>
        </w:rPr>
        <w:t>in Gaza Strip.</w:t>
      </w:r>
    </w:p>
    <w:p w:rsidR="00007BF1" w:rsidRPr="00007BF1" w:rsidRDefault="00007BF1" w:rsidP="00007BF1">
      <w:pPr>
        <w:pStyle w:val="BodyText2"/>
        <w:overflowPunct/>
        <w:autoSpaceDE/>
        <w:autoSpaceDN/>
        <w:adjustRightInd/>
        <w:ind w:left="357"/>
        <w:textAlignment w:val="auto"/>
        <w:rPr>
          <w:noProof/>
          <w:sz w:val="12"/>
          <w:szCs w:val="12"/>
        </w:rPr>
      </w:pPr>
    </w:p>
    <w:p w:rsidR="00527986" w:rsidRPr="004601D7" w:rsidRDefault="00527986" w:rsidP="00793CB8">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population, see the tables in chapter 1.</w:t>
      </w:r>
      <w:r w:rsidR="00747CC0" w:rsidRPr="004601D7">
        <w:rPr>
          <w:rFonts w:cs="Times New Roman"/>
          <w:b/>
          <w:bCs/>
          <w:i/>
          <w:iCs/>
          <w:sz w:val="18"/>
          <w:szCs w:val="18"/>
          <w:u w:val="single"/>
        </w:rPr>
        <w:t>1</w:t>
      </w:r>
      <w:r w:rsidRPr="004601D7">
        <w:rPr>
          <w:rFonts w:cs="Times New Roman"/>
          <w:b/>
          <w:bCs/>
          <w:i/>
          <w:iCs/>
          <w:sz w:val="18"/>
          <w:szCs w:val="18"/>
          <w:u w:val="single"/>
        </w:rPr>
        <w:t xml:space="preserve"> in the Arabic section, pages </w:t>
      </w:r>
      <w:r w:rsidR="0088567C" w:rsidRPr="004601D7">
        <w:rPr>
          <w:rFonts w:cs="Times New Roman"/>
          <w:b/>
          <w:bCs/>
          <w:i/>
          <w:iCs/>
          <w:sz w:val="18"/>
          <w:szCs w:val="18"/>
          <w:u w:val="single"/>
        </w:rPr>
        <w:t>19</w:t>
      </w:r>
      <w:r w:rsidRPr="004601D7">
        <w:rPr>
          <w:rFonts w:cs="Times New Roman"/>
          <w:b/>
          <w:bCs/>
          <w:i/>
          <w:iCs/>
          <w:sz w:val="18"/>
          <w:szCs w:val="18"/>
          <w:u w:val="single"/>
        </w:rPr>
        <w:t>-</w:t>
      </w:r>
      <w:r w:rsidR="0088567C" w:rsidRPr="004601D7">
        <w:rPr>
          <w:rFonts w:cs="Times New Roman"/>
          <w:b/>
          <w:bCs/>
          <w:i/>
          <w:iCs/>
          <w:sz w:val="18"/>
          <w:szCs w:val="18"/>
          <w:u w:val="single"/>
        </w:rPr>
        <w:t>2</w:t>
      </w:r>
      <w:r w:rsidR="00793CB8" w:rsidRPr="004601D7">
        <w:rPr>
          <w:rFonts w:cs="Times New Roman"/>
          <w:b/>
          <w:bCs/>
          <w:i/>
          <w:iCs/>
          <w:sz w:val="18"/>
          <w:szCs w:val="18"/>
          <w:u w:val="single"/>
        </w:rPr>
        <w:t>6</w:t>
      </w:r>
      <w:r w:rsidRPr="004601D7">
        <w:rPr>
          <w:rFonts w:cs="Times New Roman"/>
          <w:b/>
          <w:bCs/>
          <w:i/>
          <w:iCs/>
          <w:sz w:val="18"/>
          <w:szCs w:val="18"/>
          <w:u w:val="single"/>
        </w:rPr>
        <w:t>.</w:t>
      </w:r>
    </w:p>
    <w:p w:rsidR="00C67757" w:rsidRDefault="00C67757" w:rsidP="00C67757">
      <w:pPr>
        <w:pStyle w:val="ListParagraph"/>
        <w:bidi w:val="0"/>
        <w:ind w:left="0"/>
        <w:jc w:val="lowKashida"/>
        <w:rPr>
          <w:rFonts w:cs="Times New Roman"/>
          <w:i/>
          <w:iCs/>
          <w:sz w:val="20"/>
          <w:u w:val="single"/>
        </w:rPr>
      </w:pPr>
    </w:p>
    <w:p w:rsidR="0088365A" w:rsidRDefault="0088365A" w:rsidP="0088365A">
      <w:pPr>
        <w:pStyle w:val="ListParagraph"/>
        <w:bidi w:val="0"/>
        <w:ind w:left="0"/>
        <w:jc w:val="lowKashida"/>
        <w:rPr>
          <w:rFonts w:cs="Times New Roman"/>
          <w:i/>
          <w:iCs/>
          <w:sz w:val="20"/>
          <w:u w:val="single"/>
        </w:rPr>
      </w:pPr>
    </w:p>
    <w:p w:rsidR="0088365A" w:rsidRPr="004601D7" w:rsidRDefault="0088365A" w:rsidP="0088365A">
      <w:pPr>
        <w:pStyle w:val="ListParagraph"/>
        <w:bidi w:val="0"/>
        <w:ind w:left="0"/>
        <w:jc w:val="lowKashida"/>
        <w:rPr>
          <w:rFonts w:cs="Times New Roman"/>
          <w:i/>
          <w:iCs/>
          <w:sz w:val="20"/>
          <w:u w:val="single"/>
        </w:rPr>
      </w:pPr>
    </w:p>
    <w:p w:rsidR="00C67757" w:rsidRPr="004601D7" w:rsidRDefault="00C67757" w:rsidP="00BB40F1">
      <w:pPr>
        <w:pStyle w:val="Title"/>
        <w:numPr>
          <w:ilvl w:val="0"/>
          <w:numId w:val="19"/>
        </w:numPr>
        <w:bidi w:val="0"/>
        <w:ind w:left="252" w:hanging="252"/>
        <w:jc w:val="left"/>
        <w:rPr>
          <w:rFonts w:cs="Traditional Arabic"/>
          <w:sz w:val="20"/>
          <w:szCs w:val="20"/>
        </w:rPr>
      </w:pPr>
      <w:r w:rsidRPr="004601D7">
        <w:rPr>
          <w:rFonts w:cs="Traditional Arabic"/>
          <w:sz w:val="20"/>
          <w:szCs w:val="20"/>
        </w:rPr>
        <w:lastRenderedPageBreak/>
        <w:t xml:space="preserve">Buildings </w:t>
      </w:r>
      <w:r w:rsidR="00F77085" w:rsidRPr="004601D7">
        <w:rPr>
          <w:rFonts w:cs="Traditional Arabic"/>
          <w:sz w:val="20"/>
          <w:szCs w:val="20"/>
        </w:rPr>
        <w:t>and Housing Units</w:t>
      </w:r>
    </w:p>
    <w:p w:rsidR="00C67757" w:rsidRPr="004601D7" w:rsidRDefault="009E2F57" w:rsidP="00613BC8">
      <w:pPr>
        <w:pStyle w:val="BodyText2"/>
        <w:numPr>
          <w:ilvl w:val="0"/>
          <w:numId w:val="2"/>
        </w:numPr>
        <w:overflowPunct/>
        <w:autoSpaceDE/>
        <w:autoSpaceDN/>
        <w:adjustRightInd/>
        <w:spacing w:after="120"/>
        <w:ind w:left="266" w:hanging="266"/>
        <w:textAlignment w:val="auto"/>
        <w:rPr>
          <w:noProof/>
        </w:rPr>
      </w:pPr>
      <w:r w:rsidRPr="004601D7">
        <w:rPr>
          <w:noProof/>
        </w:rPr>
        <w:drawing>
          <wp:anchor distT="0" distB="0" distL="114300" distR="114300" simplePos="0" relativeHeight="251654144" behindDoc="0" locked="0" layoutInCell="1" allowOverlap="1" wp14:anchorId="58E73201" wp14:editId="387644BA">
            <wp:simplePos x="0" y="0"/>
            <wp:positionH relativeFrom="column">
              <wp:posOffset>1156335</wp:posOffset>
            </wp:positionH>
            <wp:positionV relativeFrom="paragraph">
              <wp:posOffset>320675</wp:posOffset>
            </wp:positionV>
            <wp:extent cx="3811905" cy="4858385"/>
            <wp:effectExtent l="19050" t="19050" r="0" b="0"/>
            <wp:wrapSquare wrapText="bothSides"/>
            <wp:docPr id="19" name="Picture 14" descr="G:\كتاب فلسطين الاحصائي السنوي 2019\الخرائط\Buildings_2019_En.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كتاب فلسطين الاحصائي السنوي 2019\الخرائط\Buildings_2019_En.png"/>
                    <pic:cNvPicPr>
                      <a:picLocks noChangeAspect="1" noChangeArrowheads="1"/>
                    </pic:cNvPicPr>
                  </pic:nvPicPr>
                  <pic:blipFill>
                    <a:blip r:embed="rId9" cstate="print"/>
                    <a:srcRect l="9715" t="12210" r="9572" b="16923"/>
                    <a:stretch>
                      <a:fillRect/>
                    </a:stretch>
                  </pic:blipFill>
                  <pic:spPr bwMode="auto">
                    <a:xfrm>
                      <a:off x="0" y="0"/>
                      <a:ext cx="3811905" cy="4858385"/>
                    </a:xfrm>
                    <a:prstGeom prst="rect">
                      <a:avLst/>
                    </a:prstGeom>
                    <a:noFill/>
                    <a:ln w="9525">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r w:rsidR="00C67757" w:rsidRPr="004601D7">
        <w:rPr>
          <w:noProof/>
        </w:rPr>
        <w:t xml:space="preserve">The results of </w:t>
      </w:r>
      <w:r w:rsidR="00B66E51" w:rsidRPr="004601D7">
        <w:rPr>
          <w:noProof/>
        </w:rPr>
        <w:t xml:space="preserve">census </w:t>
      </w:r>
      <w:r w:rsidR="00456A8A" w:rsidRPr="004601D7">
        <w:rPr>
          <w:noProof/>
        </w:rPr>
        <w:t>2017</w:t>
      </w:r>
      <w:r w:rsidR="00C67757" w:rsidRPr="004601D7">
        <w:rPr>
          <w:noProof/>
        </w:rPr>
        <w:t xml:space="preserve"> showed that there </w:t>
      </w:r>
      <w:r w:rsidR="00834995" w:rsidRPr="004601D7">
        <w:rPr>
          <w:noProof/>
        </w:rPr>
        <w:t xml:space="preserve">were </w:t>
      </w:r>
      <w:r w:rsidR="00C67757" w:rsidRPr="004601D7">
        <w:rPr>
          <w:noProof/>
        </w:rPr>
        <w:t xml:space="preserve">627,383 buildings in Palestine of which </w:t>
      </w:r>
      <w:r w:rsidR="00AE6B89" w:rsidRPr="004601D7">
        <w:rPr>
          <w:noProof/>
        </w:rPr>
        <w:t>441</w:t>
      </w:r>
      <w:r w:rsidR="00C67757" w:rsidRPr="004601D7">
        <w:rPr>
          <w:noProof/>
        </w:rPr>
        <w:t>,2</w:t>
      </w:r>
      <w:r w:rsidR="00AE6B89" w:rsidRPr="004601D7">
        <w:rPr>
          <w:noProof/>
        </w:rPr>
        <w:t>80</w:t>
      </w:r>
      <w:r w:rsidR="00C67757" w:rsidRPr="004601D7">
        <w:rPr>
          <w:noProof/>
        </w:rPr>
        <w:t xml:space="preserve"> </w:t>
      </w:r>
      <w:r w:rsidR="00834995" w:rsidRPr="004601D7">
        <w:rPr>
          <w:noProof/>
        </w:rPr>
        <w:t xml:space="preserve">were </w:t>
      </w:r>
      <w:r w:rsidR="00C67757" w:rsidRPr="004601D7">
        <w:rPr>
          <w:noProof/>
        </w:rPr>
        <w:t>in the West Bank</w:t>
      </w:r>
      <w:r w:rsidR="00613BC8" w:rsidRPr="004601D7">
        <w:rPr>
          <w:noProof/>
        </w:rPr>
        <w:t xml:space="preserve"> </w:t>
      </w:r>
      <w:r w:rsidR="00C67757" w:rsidRPr="004601D7">
        <w:rPr>
          <w:noProof/>
        </w:rPr>
        <w:t xml:space="preserve">(70.3%), and 186,103 in Gaza Strip (29.7%).  Additionally, the census results showed that there were 1,129,264 housing units in Palestine, of which 726,143 </w:t>
      </w:r>
      <w:r w:rsidR="00C41B5B" w:rsidRPr="004601D7">
        <w:rPr>
          <w:noProof/>
        </w:rPr>
        <w:t xml:space="preserve">housing units </w:t>
      </w:r>
      <w:r w:rsidR="00834995" w:rsidRPr="004601D7">
        <w:rPr>
          <w:noProof/>
        </w:rPr>
        <w:t xml:space="preserve">were </w:t>
      </w:r>
      <w:r w:rsidR="00C67757" w:rsidRPr="004601D7">
        <w:rPr>
          <w:noProof/>
        </w:rPr>
        <w:t>in the West Bank</w:t>
      </w:r>
      <w:r w:rsidR="004724D5" w:rsidRPr="004601D7">
        <w:rPr>
          <w:noProof/>
        </w:rPr>
        <w:t xml:space="preserve"> (excluding Jerusalem</w:t>
      </w:r>
      <w:r w:rsidR="000432A2" w:rsidRPr="004601D7">
        <w:rPr>
          <w:noProof/>
        </w:rPr>
        <w:t xml:space="preserve"> </w:t>
      </w:r>
      <w:r w:rsidR="004724D5" w:rsidRPr="004601D7">
        <w:rPr>
          <w:noProof/>
        </w:rPr>
        <w:t>J1)</w:t>
      </w:r>
      <w:r w:rsidR="00C67757" w:rsidRPr="004601D7">
        <w:rPr>
          <w:noProof/>
        </w:rPr>
        <w:t xml:space="preserve"> (64.3%), and 403,121 </w:t>
      </w:r>
      <w:r w:rsidR="00C41B5B" w:rsidRPr="004601D7">
        <w:rPr>
          <w:noProof/>
        </w:rPr>
        <w:t xml:space="preserve">housing units </w:t>
      </w:r>
      <w:r w:rsidR="00C67757" w:rsidRPr="004601D7">
        <w:rPr>
          <w:noProof/>
        </w:rPr>
        <w:t xml:space="preserve">in Gaza Strip (35.7%). </w:t>
      </w:r>
    </w:p>
    <w:p w:rsidR="009E2F57" w:rsidRPr="004601D7" w:rsidRDefault="009E2F57" w:rsidP="009E2F57">
      <w:pPr>
        <w:pStyle w:val="BodyText2"/>
        <w:overflowPunct/>
        <w:autoSpaceDE/>
        <w:autoSpaceDN/>
        <w:adjustRightInd/>
        <w:spacing w:after="120"/>
        <w:textAlignment w:val="auto"/>
        <w:rPr>
          <w:noProof/>
        </w:rPr>
      </w:pPr>
    </w:p>
    <w:p w:rsidR="009E2F57" w:rsidRPr="004601D7" w:rsidRDefault="009E2F57" w:rsidP="009E2F57">
      <w:pPr>
        <w:pStyle w:val="BodyText2"/>
        <w:overflowPunct/>
        <w:autoSpaceDE/>
        <w:autoSpaceDN/>
        <w:adjustRightInd/>
        <w:spacing w:after="120"/>
        <w:textAlignment w:val="auto"/>
        <w:rPr>
          <w:noProof/>
        </w:rPr>
      </w:pPr>
    </w:p>
    <w:p w:rsidR="00BB40F1" w:rsidRPr="004601D7" w:rsidRDefault="00BB40F1" w:rsidP="009E2F57">
      <w:pPr>
        <w:pStyle w:val="BodyText2"/>
        <w:overflowPunct/>
        <w:autoSpaceDE/>
        <w:autoSpaceDN/>
        <w:adjustRightInd/>
        <w:spacing w:after="120"/>
        <w:textAlignment w:val="auto"/>
        <w:rPr>
          <w:noProof/>
        </w:rPr>
      </w:pPr>
    </w:p>
    <w:p w:rsidR="00BB40F1" w:rsidRPr="004601D7" w:rsidRDefault="00BB40F1" w:rsidP="009E2F57">
      <w:pPr>
        <w:pStyle w:val="BodyText2"/>
        <w:overflowPunct/>
        <w:autoSpaceDE/>
        <w:autoSpaceDN/>
        <w:adjustRightInd/>
        <w:spacing w:after="120"/>
        <w:textAlignment w:val="auto"/>
        <w:rPr>
          <w:noProof/>
        </w:rPr>
      </w:pPr>
    </w:p>
    <w:p w:rsidR="00BB40F1" w:rsidRPr="004601D7" w:rsidRDefault="00BB40F1" w:rsidP="009E2F57">
      <w:pPr>
        <w:pStyle w:val="BodyText2"/>
        <w:overflowPunct/>
        <w:autoSpaceDE/>
        <w:autoSpaceDN/>
        <w:adjustRightInd/>
        <w:spacing w:after="120"/>
        <w:textAlignment w:val="auto"/>
        <w:rPr>
          <w:noProof/>
        </w:rPr>
      </w:pPr>
    </w:p>
    <w:p w:rsidR="00BB40F1" w:rsidRPr="004601D7" w:rsidRDefault="00BB40F1" w:rsidP="009E2F57">
      <w:pPr>
        <w:pStyle w:val="BodyText2"/>
        <w:overflowPunct/>
        <w:autoSpaceDE/>
        <w:autoSpaceDN/>
        <w:adjustRightInd/>
        <w:spacing w:after="120"/>
        <w:textAlignment w:val="auto"/>
        <w:rPr>
          <w:noProof/>
        </w:rPr>
      </w:pPr>
    </w:p>
    <w:p w:rsidR="009E2F57" w:rsidRPr="004601D7" w:rsidRDefault="009E2F57" w:rsidP="009E2F57">
      <w:pPr>
        <w:pStyle w:val="BodyText2"/>
        <w:overflowPunct/>
        <w:autoSpaceDE/>
        <w:autoSpaceDN/>
        <w:adjustRightInd/>
        <w:spacing w:after="120"/>
        <w:textAlignment w:val="auto"/>
        <w:rPr>
          <w:noProof/>
        </w:rPr>
      </w:pPr>
    </w:p>
    <w:p w:rsidR="009E2F57" w:rsidRPr="004601D7" w:rsidRDefault="009E2F57" w:rsidP="009E2F57">
      <w:pPr>
        <w:pStyle w:val="BodyText2"/>
        <w:overflowPunct/>
        <w:autoSpaceDE/>
        <w:autoSpaceDN/>
        <w:adjustRightInd/>
        <w:spacing w:after="120"/>
        <w:textAlignment w:val="auto"/>
        <w:rPr>
          <w:noProof/>
        </w:rPr>
      </w:pPr>
    </w:p>
    <w:p w:rsidR="009E2F57" w:rsidRPr="004601D7" w:rsidRDefault="009E2F57" w:rsidP="009E2F57">
      <w:pPr>
        <w:pStyle w:val="BodyText2"/>
        <w:overflowPunct/>
        <w:autoSpaceDE/>
        <w:autoSpaceDN/>
        <w:adjustRightInd/>
        <w:spacing w:after="120"/>
        <w:textAlignment w:val="auto"/>
        <w:rPr>
          <w:noProof/>
        </w:rPr>
      </w:pPr>
    </w:p>
    <w:p w:rsidR="009E2F57" w:rsidRPr="004601D7" w:rsidRDefault="009E2F57" w:rsidP="009E2F57">
      <w:pPr>
        <w:pStyle w:val="BodyText2"/>
        <w:overflowPunct/>
        <w:autoSpaceDE/>
        <w:autoSpaceDN/>
        <w:adjustRightInd/>
        <w:spacing w:after="120"/>
        <w:textAlignment w:val="auto"/>
        <w:rPr>
          <w:noProof/>
        </w:rPr>
      </w:pPr>
    </w:p>
    <w:p w:rsidR="009E2F57" w:rsidRPr="004601D7" w:rsidRDefault="009E2F57" w:rsidP="009E2F57">
      <w:pPr>
        <w:pStyle w:val="BodyText2"/>
        <w:overflowPunct/>
        <w:autoSpaceDE/>
        <w:autoSpaceDN/>
        <w:adjustRightInd/>
        <w:spacing w:after="120"/>
        <w:textAlignment w:val="auto"/>
        <w:rPr>
          <w:noProof/>
        </w:rPr>
      </w:pPr>
    </w:p>
    <w:p w:rsidR="009E2F57" w:rsidRPr="004601D7" w:rsidRDefault="009E2F57" w:rsidP="009E2F57">
      <w:pPr>
        <w:pStyle w:val="BodyText2"/>
        <w:overflowPunct/>
        <w:autoSpaceDE/>
        <w:autoSpaceDN/>
        <w:adjustRightInd/>
        <w:spacing w:after="120"/>
        <w:textAlignment w:val="auto"/>
        <w:rPr>
          <w:noProof/>
        </w:rPr>
      </w:pPr>
    </w:p>
    <w:p w:rsidR="00793CB8" w:rsidRPr="004601D7" w:rsidRDefault="00793CB8" w:rsidP="0015308F">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 xml:space="preserve">For more details on </w:t>
      </w:r>
      <w:r w:rsidR="00B51C6A" w:rsidRPr="004601D7">
        <w:rPr>
          <w:rFonts w:cs="Times New Roman"/>
          <w:b/>
          <w:bCs/>
          <w:i/>
          <w:iCs/>
          <w:sz w:val="18"/>
          <w:szCs w:val="18"/>
          <w:u w:val="single"/>
        </w:rPr>
        <w:t>b</w:t>
      </w:r>
      <w:r w:rsidRPr="004601D7">
        <w:rPr>
          <w:rFonts w:cs="Times New Roman"/>
          <w:b/>
          <w:bCs/>
          <w:i/>
          <w:iCs/>
          <w:sz w:val="18"/>
          <w:szCs w:val="18"/>
          <w:u w:val="single"/>
        </w:rPr>
        <w:t>uildings, see the tables in chapter 1.2 in the Arabic section, pages  27-</w:t>
      </w:r>
      <w:r w:rsidR="0015308F" w:rsidRPr="004601D7">
        <w:rPr>
          <w:rFonts w:cs="Times New Roman"/>
          <w:b/>
          <w:bCs/>
          <w:i/>
          <w:iCs/>
          <w:sz w:val="18"/>
          <w:szCs w:val="18"/>
          <w:u w:val="single"/>
        </w:rPr>
        <w:t>36</w:t>
      </w:r>
      <w:r w:rsidRPr="004601D7">
        <w:rPr>
          <w:rFonts w:cs="Times New Roman"/>
          <w:b/>
          <w:bCs/>
          <w:i/>
          <w:iCs/>
          <w:sz w:val="18"/>
          <w:szCs w:val="18"/>
          <w:u w:val="single"/>
        </w:rPr>
        <w:t>.</w:t>
      </w:r>
    </w:p>
    <w:p w:rsidR="00456A8A" w:rsidRPr="004601D7" w:rsidRDefault="00456A8A">
      <w:pPr>
        <w:overflowPunct/>
        <w:autoSpaceDE/>
        <w:autoSpaceDN/>
        <w:adjustRightInd/>
        <w:textAlignment w:val="auto"/>
        <w:rPr>
          <w:rFonts w:cs="Traditional Arabic"/>
          <w:b/>
          <w:bCs/>
          <w:noProof/>
        </w:rPr>
      </w:pPr>
    </w:p>
    <w:p w:rsidR="00527986" w:rsidRPr="004601D7" w:rsidRDefault="00527986" w:rsidP="00332048">
      <w:pPr>
        <w:pStyle w:val="Title"/>
        <w:numPr>
          <w:ilvl w:val="0"/>
          <w:numId w:val="19"/>
        </w:numPr>
        <w:bidi w:val="0"/>
        <w:ind w:left="252" w:hanging="252"/>
        <w:jc w:val="left"/>
        <w:rPr>
          <w:rFonts w:cs="Traditional Arabic"/>
          <w:sz w:val="20"/>
          <w:szCs w:val="20"/>
        </w:rPr>
      </w:pPr>
      <w:r w:rsidRPr="004601D7">
        <w:rPr>
          <w:rFonts w:cs="Traditional Arabic"/>
          <w:sz w:val="20"/>
          <w:szCs w:val="20"/>
        </w:rPr>
        <w:t xml:space="preserve">Vital Statistics            </w:t>
      </w:r>
    </w:p>
    <w:p w:rsidR="00026A36" w:rsidRPr="004601D7" w:rsidRDefault="00026A36" w:rsidP="00613BC8">
      <w:pPr>
        <w:pStyle w:val="BodyText2"/>
        <w:numPr>
          <w:ilvl w:val="0"/>
          <w:numId w:val="2"/>
        </w:numPr>
        <w:overflowPunct/>
        <w:autoSpaceDE/>
        <w:autoSpaceDN/>
        <w:adjustRightInd/>
        <w:spacing w:after="120"/>
        <w:textAlignment w:val="auto"/>
        <w:rPr>
          <w:noProof/>
        </w:rPr>
      </w:pPr>
      <w:r w:rsidRPr="004601D7">
        <w:t>The Data of registered births and registered deaths does not include Jerusalem ID holders. The number of live births registered in Palestine in 2019 was 137,361</w:t>
      </w:r>
      <w:r w:rsidR="00C41B5B" w:rsidRPr="004601D7">
        <w:t xml:space="preserve"> births</w:t>
      </w:r>
      <w:r w:rsidRPr="004601D7">
        <w:t xml:space="preserve">, comprising 81,333 </w:t>
      </w:r>
      <w:r w:rsidR="00C41B5B" w:rsidRPr="004601D7">
        <w:t xml:space="preserve">births </w:t>
      </w:r>
      <w:r w:rsidRPr="004601D7">
        <w:t xml:space="preserve">in the West Bank and 56,028 </w:t>
      </w:r>
      <w:r w:rsidR="00C41B5B" w:rsidRPr="004601D7">
        <w:t xml:space="preserve">births </w:t>
      </w:r>
      <w:r w:rsidRPr="004601D7">
        <w:t>in Gaza Strip. While the number of registered deaths in the same year was 12,602 in Palestine of which 7,589 were in the West Bank and 5,013 in Gaza Strip</w:t>
      </w:r>
    </w:p>
    <w:p w:rsidR="00E52370" w:rsidRPr="004601D7" w:rsidRDefault="00387F72" w:rsidP="00E52370">
      <w:pPr>
        <w:pStyle w:val="BodyText2"/>
        <w:numPr>
          <w:ilvl w:val="0"/>
          <w:numId w:val="2"/>
        </w:numPr>
        <w:overflowPunct/>
        <w:autoSpaceDE/>
        <w:autoSpaceDN/>
        <w:adjustRightInd/>
        <w:spacing w:after="120"/>
        <w:ind w:left="266" w:hanging="266"/>
        <w:textAlignment w:val="auto"/>
        <w:rPr>
          <w:noProof/>
        </w:rPr>
      </w:pPr>
      <w:r>
        <w:rPr>
          <w:noProof/>
        </w:rPr>
        <w:lastRenderedPageBreak/>
        <w:pict>
          <v:rect id="_x0000_s1031" style="position:absolute;left:0;text-align:left;margin-left:132.15pt;margin-top:43.15pt;width:239.7pt;height:15.8pt;z-index:251667456" stroked="f">
            <v:textbox style="mso-next-textbox:#_x0000_s1031">
              <w:txbxContent>
                <w:p w:rsidR="00613BC8" w:rsidRPr="00613BC8" w:rsidRDefault="00613BC8" w:rsidP="00613BC8">
                  <w:pPr>
                    <w:jc w:val="center"/>
                    <w:rPr>
                      <w:b/>
                      <w:bCs/>
                      <w:sz w:val="16"/>
                      <w:szCs w:val="16"/>
                    </w:rPr>
                  </w:pPr>
                  <w:r w:rsidRPr="00613BC8">
                    <w:rPr>
                      <w:rFonts w:ascii="Arial" w:hAnsi="Arial" w:cs="Arial"/>
                      <w:b/>
                      <w:bCs/>
                      <w:noProof/>
                      <w:sz w:val="14"/>
                      <w:szCs w:val="14"/>
                      <w:lang w:val="en-GB"/>
                    </w:rPr>
                    <w:t>Number of Registered Marriages in Palestine by Governorate</w:t>
                  </w:r>
                  <w:r>
                    <w:rPr>
                      <w:b/>
                      <w:bCs/>
                      <w:sz w:val="16"/>
                      <w:szCs w:val="16"/>
                    </w:rPr>
                    <w:t>, 2019</w:t>
                  </w:r>
                </w:p>
              </w:txbxContent>
            </v:textbox>
            <w10:wrap anchorx="page"/>
          </v:rect>
        </w:pict>
      </w:r>
      <w:r w:rsidR="00613BC8" w:rsidRPr="004601D7">
        <w:rPr>
          <w:noProof/>
        </w:rPr>
        <w:drawing>
          <wp:anchor distT="0" distB="0" distL="114300" distR="114300" simplePos="0" relativeHeight="251656192" behindDoc="0" locked="0" layoutInCell="1" allowOverlap="1" wp14:anchorId="2DD33BAA" wp14:editId="1BA4B184">
            <wp:simplePos x="0" y="0"/>
            <wp:positionH relativeFrom="column">
              <wp:posOffset>1639496</wp:posOffset>
            </wp:positionH>
            <wp:positionV relativeFrom="paragraph">
              <wp:posOffset>463683</wp:posOffset>
            </wp:positionV>
            <wp:extent cx="3117215" cy="3801110"/>
            <wp:effectExtent l="19050" t="19050" r="6985" b="8890"/>
            <wp:wrapSquare wrapText="bothSides"/>
            <wp:docPr id="6" name="Picture 6" descr="G:\كتاب فلسطين الاحصائي السنوي 2020 نهائي\كتاب فلسطين الاحصائي السنوي 2020-PHCD\خرائط\Marriage_2020_En.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G:\كتاب فلسطين الاحصائي السنوي 2020 نهائي\كتاب فلسطين الاحصائي السنوي 2020-PHCD\خرائط\Marriage_2020_En.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7951" t="11410" r="7987" b="14984"/>
                    <a:stretch/>
                  </pic:blipFill>
                  <pic:spPr bwMode="auto">
                    <a:xfrm>
                      <a:off x="0" y="0"/>
                      <a:ext cx="3117215" cy="3801110"/>
                    </a:xfrm>
                    <a:prstGeom prst="rect">
                      <a:avLst/>
                    </a:prstGeom>
                    <a:noFill/>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52370" w:rsidRPr="004601D7">
        <w:rPr>
          <w:noProof/>
        </w:rPr>
        <w:t>The median age at first marriage in Palestine was 20.7 years for females and 25.3 years for males in 2019.  The number of registered marriages in 2019 at Sharia courts and churches in Palestine was 44</w:t>
      </w:r>
      <w:r w:rsidR="00D44937" w:rsidRPr="004601D7">
        <w:rPr>
          <w:noProof/>
        </w:rPr>
        <w:t>,</w:t>
      </w:r>
      <w:r w:rsidR="00E52370" w:rsidRPr="004601D7">
        <w:rPr>
          <w:noProof/>
        </w:rPr>
        <w:t>320</w:t>
      </w:r>
      <w:r w:rsidR="00C41B5B" w:rsidRPr="004601D7">
        <w:rPr>
          <w:noProof/>
        </w:rPr>
        <w:t xml:space="preserve"> contracts</w:t>
      </w:r>
      <w:r w:rsidR="00E52370" w:rsidRPr="004601D7">
        <w:rPr>
          <w:noProof/>
        </w:rPr>
        <w:t>; comprising 27</w:t>
      </w:r>
      <w:r w:rsidR="00D44937" w:rsidRPr="004601D7">
        <w:rPr>
          <w:noProof/>
        </w:rPr>
        <w:t>,</w:t>
      </w:r>
      <w:r w:rsidR="00E52370" w:rsidRPr="004601D7">
        <w:rPr>
          <w:noProof/>
        </w:rPr>
        <w:t>280 contracts in the West Bank and 17</w:t>
      </w:r>
      <w:r w:rsidR="00D44937" w:rsidRPr="004601D7">
        <w:rPr>
          <w:noProof/>
        </w:rPr>
        <w:t>,</w:t>
      </w:r>
      <w:r w:rsidR="00E52370" w:rsidRPr="004601D7">
        <w:rPr>
          <w:noProof/>
        </w:rPr>
        <w:t>040 contracts in Gaza Strip.</w:t>
      </w:r>
    </w:p>
    <w:p w:rsidR="00E52370" w:rsidRPr="004601D7" w:rsidRDefault="00E52370" w:rsidP="00E52370">
      <w:pPr>
        <w:pStyle w:val="BodyText2"/>
        <w:numPr>
          <w:ilvl w:val="0"/>
          <w:numId w:val="2"/>
        </w:numPr>
        <w:overflowPunct/>
        <w:autoSpaceDE/>
        <w:autoSpaceDN/>
        <w:adjustRightInd/>
        <w:spacing w:after="120"/>
        <w:ind w:left="266" w:hanging="266"/>
        <w:textAlignment w:val="auto"/>
        <w:rPr>
          <w:noProof/>
        </w:rPr>
      </w:pPr>
      <w:r w:rsidRPr="004601D7">
        <w:rPr>
          <w:noProof/>
        </w:rPr>
        <w:t>Hebron governorate recorded the highest number of marriages in Palestine with 8,086 contracts while Jericho</w:t>
      </w:r>
      <w:r w:rsidRPr="004601D7">
        <w:rPr>
          <w:noProof/>
          <w:rtl/>
        </w:rPr>
        <w:t xml:space="preserve"> &amp; </w:t>
      </w:r>
      <w:r w:rsidRPr="004601D7">
        <w:rPr>
          <w:noProof/>
        </w:rPr>
        <w:t>Al Aghwar governorate recorded the lowest number of marriages with 371 contracts.</w:t>
      </w:r>
    </w:p>
    <w:p w:rsidR="00E52370" w:rsidRPr="004601D7" w:rsidRDefault="00E52370" w:rsidP="00E52370">
      <w:pPr>
        <w:pStyle w:val="BodyText2"/>
        <w:numPr>
          <w:ilvl w:val="0"/>
          <w:numId w:val="2"/>
        </w:numPr>
        <w:overflowPunct/>
        <w:autoSpaceDE/>
        <w:autoSpaceDN/>
        <w:adjustRightInd/>
        <w:spacing w:after="120"/>
        <w:ind w:left="266" w:hanging="266"/>
        <w:textAlignment w:val="auto"/>
        <w:rPr>
          <w:noProof/>
        </w:rPr>
      </w:pPr>
      <w:r w:rsidRPr="004601D7">
        <w:rPr>
          <w:noProof/>
        </w:rPr>
        <w:t>The number of registered divorces at Sharia courts in Palestine in 2019 was 8</w:t>
      </w:r>
      <w:r w:rsidR="00D44937" w:rsidRPr="004601D7">
        <w:rPr>
          <w:noProof/>
        </w:rPr>
        <w:t>,</w:t>
      </w:r>
      <w:r w:rsidRPr="004601D7">
        <w:rPr>
          <w:noProof/>
        </w:rPr>
        <w:t>551 cases; 5</w:t>
      </w:r>
      <w:r w:rsidR="00D44937" w:rsidRPr="004601D7">
        <w:rPr>
          <w:noProof/>
        </w:rPr>
        <w:t>,</w:t>
      </w:r>
      <w:r w:rsidRPr="004601D7">
        <w:rPr>
          <w:noProof/>
        </w:rPr>
        <w:t>369 cases in the West Bank and 3</w:t>
      </w:r>
      <w:r w:rsidR="00D44937" w:rsidRPr="004601D7">
        <w:rPr>
          <w:noProof/>
        </w:rPr>
        <w:t>,</w:t>
      </w:r>
      <w:r w:rsidRPr="004601D7">
        <w:rPr>
          <w:noProof/>
        </w:rPr>
        <w:t>182 cases in Gaza Strip. Gaza governorate recorded the highest number of divorce cases in Palestine with 1</w:t>
      </w:r>
      <w:r w:rsidR="00D44937" w:rsidRPr="004601D7">
        <w:rPr>
          <w:noProof/>
        </w:rPr>
        <w:t>,</w:t>
      </w:r>
      <w:r w:rsidRPr="004601D7">
        <w:rPr>
          <w:noProof/>
        </w:rPr>
        <w:t>195 while Jericho</w:t>
      </w:r>
      <w:r w:rsidRPr="004601D7">
        <w:rPr>
          <w:noProof/>
          <w:rtl/>
        </w:rPr>
        <w:t xml:space="preserve"> &amp; </w:t>
      </w:r>
      <w:r w:rsidRPr="004601D7">
        <w:rPr>
          <w:noProof/>
        </w:rPr>
        <w:t xml:space="preserve">Al Aghwar governorate recorded the lowest number with </w:t>
      </w:r>
      <w:r w:rsidRPr="004601D7">
        <w:rPr>
          <w:rFonts w:hint="cs"/>
          <w:noProof/>
          <w:rtl/>
        </w:rPr>
        <w:t>125</w:t>
      </w:r>
      <w:r w:rsidRPr="004601D7">
        <w:rPr>
          <w:noProof/>
        </w:rPr>
        <w:t xml:space="preserve"> cases.</w:t>
      </w:r>
    </w:p>
    <w:p w:rsidR="00527986" w:rsidRPr="004601D7" w:rsidRDefault="00527986" w:rsidP="0071022E">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 xml:space="preserve">For more details </w:t>
      </w:r>
      <w:r w:rsidR="00FA6A6A" w:rsidRPr="004601D7">
        <w:rPr>
          <w:rFonts w:cs="Times New Roman"/>
          <w:b/>
          <w:bCs/>
          <w:i/>
          <w:iCs/>
          <w:sz w:val="18"/>
          <w:szCs w:val="18"/>
          <w:u w:val="single"/>
        </w:rPr>
        <w:t xml:space="preserve">on </w:t>
      </w:r>
      <w:r w:rsidRPr="004601D7">
        <w:rPr>
          <w:rFonts w:cs="Times New Roman"/>
          <w:b/>
          <w:bCs/>
          <w:i/>
          <w:iCs/>
          <w:sz w:val="18"/>
          <w:szCs w:val="18"/>
          <w:u w:val="single"/>
        </w:rPr>
        <w:t>vital statistics, see the tables in chapter 1.</w:t>
      </w:r>
      <w:r w:rsidR="00084AEE" w:rsidRPr="004601D7">
        <w:rPr>
          <w:rFonts w:cs="Times New Roman"/>
          <w:b/>
          <w:bCs/>
          <w:i/>
          <w:iCs/>
          <w:sz w:val="18"/>
          <w:szCs w:val="18"/>
          <w:u w:val="single"/>
        </w:rPr>
        <w:t>3</w:t>
      </w:r>
      <w:r w:rsidRPr="004601D7">
        <w:rPr>
          <w:rFonts w:cs="Times New Roman"/>
          <w:b/>
          <w:bCs/>
          <w:i/>
          <w:iCs/>
          <w:sz w:val="18"/>
          <w:szCs w:val="18"/>
          <w:u w:val="single"/>
        </w:rPr>
        <w:t xml:space="preserve"> of the Arabic section, pages </w:t>
      </w:r>
      <w:r w:rsidR="00793CB8" w:rsidRPr="004601D7">
        <w:rPr>
          <w:rFonts w:cs="Times New Roman"/>
          <w:b/>
          <w:bCs/>
          <w:i/>
          <w:iCs/>
          <w:sz w:val="18"/>
          <w:szCs w:val="18"/>
          <w:u w:val="single"/>
        </w:rPr>
        <w:t>3</w:t>
      </w:r>
      <w:r w:rsidR="0015308F" w:rsidRPr="004601D7">
        <w:rPr>
          <w:rFonts w:cs="Times New Roman"/>
          <w:b/>
          <w:bCs/>
          <w:i/>
          <w:iCs/>
          <w:sz w:val="18"/>
          <w:szCs w:val="18"/>
          <w:u w:val="single"/>
        </w:rPr>
        <w:t>7</w:t>
      </w:r>
      <w:r w:rsidRPr="004601D7">
        <w:rPr>
          <w:rFonts w:cs="Times New Roman"/>
          <w:b/>
          <w:bCs/>
          <w:i/>
          <w:iCs/>
          <w:sz w:val="18"/>
          <w:szCs w:val="18"/>
          <w:u w:val="single"/>
        </w:rPr>
        <w:t>-</w:t>
      </w:r>
      <w:r w:rsidR="0015308F" w:rsidRPr="004601D7">
        <w:rPr>
          <w:rFonts w:cs="Times New Roman"/>
          <w:b/>
          <w:bCs/>
          <w:i/>
          <w:iCs/>
          <w:sz w:val="18"/>
          <w:szCs w:val="18"/>
          <w:u w:val="single"/>
        </w:rPr>
        <w:t>5</w:t>
      </w:r>
      <w:r w:rsidR="0071022E" w:rsidRPr="004601D7">
        <w:rPr>
          <w:rFonts w:cs="Times New Roman"/>
          <w:b/>
          <w:bCs/>
          <w:i/>
          <w:iCs/>
          <w:sz w:val="18"/>
          <w:szCs w:val="18"/>
          <w:u w:val="single"/>
        </w:rPr>
        <w:t>6</w:t>
      </w:r>
      <w:r w:rsidRPr="004601D7">
        <w:rPr>
          <w:rFonts w:cs="Times New Roman"/>
          <w:b/>
          <w:bCs/>
          <w:i/>
          <w:iCs/>
          <w:sz w:val="18"/>
          <w:szCs w:val="18"/>
          <w:u w:val="single"/>
        </w:rPr>
        <w:t>.</w:t>
      </w:r>
    </w:p>
    <w:p w:rsidR="00F64A1E" w:rsidRPr="004601D7" w:rsidRDefault="00F64A1E" w:rsidP="00F64A1E">
      <w:pPr>
        <w:pStyle w:val="ListParagraph"/>
        <w:bidi w:val="0"/>
        <w:ind w:left="0"/>
        <w:jc w:val="lowKashida"/>
        <w:rPr>
          <w:rFonts w:cs="Times New Roman"/>
          <w:b/>
          <w:bCs/>
          <w:i/>
          <w:iCs/>
          <w:sz w:val="18"/>
          <w:szCs w:val="18"/>
          <w:u w:val="single"/>
        </w:rPr>
      </w:pPr>
    </w:p>
    <w:p w:rsidR="001A32EE" w:rsidRPr="004601D7" w:rsidRDefault="001A32EE" w:rsidP="00F64A1E">
      <w:pPr>
        <w:pStyle w:val="Title"/>
        <w:numPr>
          <w:ilvl w:val="0"/>
          <w:numId w:val="19"/>
        </w:numPr>
        <w:bidi w:val="0"/>
        <w:ind w:left="252" w:hanging="252"/>
        <w:jc w:val="left"/>
        <w:rPr>
          <w:rFonts w:cs="Traditional Arabic"/>
          <w:sz w:val="20"/>
          <w:szCs w:val="20"/>
        </w:rPr>
      </w:pPr>
      <w:r w:rsidRPr="004601D7">
        <w:rPr>
          <w:rFonts w:cs="Traditional Arabic"/>
          <w:sz w:val="20"/>
          <w:szCs w:val="20"/>
        </w:rPr>
        <w:t xml:space="preserve">Health                                </w:t>
      </w:r>
    </w:p>
    <w:p w:rsidR="008F1A0B" w:rsidRDefault="002C1514" w:rsidP="002C1514">
      <w:pPr>
        <w:pStyle w:val="BodyText2"/>
        <w:numPr>
          <w:ilvl w:val="0"/>
          <w:numId w:val="2"/>
        </w:numPr>
        <w:overflowPunct/>
        <w:autoSpaceDE/>
        <w:autoSpaceDN/>
        <w:adjustRightInd/>
        <w:spacing w:after="120"/>
        <w:ind w:left="266" w:hanging="266"/>
        <w:textAlignment w:val="auto"/>
        <w:rPr>
          <w:noProof/>
        </w:rPr>
      </w:pPr>
      <w:r w:rsidRPr="004601D7">
        <w:rPr>
          <w:noProof/>
        </w:rPr>
        <w:t>In 2019, there were 85 governmental and non-governmental hospitals in Palestine with a capacity of 6,435 beds.</w:t>
      </w:r>
    </w:p>
    <w:p w:rsidR="008F1A0B" w:rsidRDefault="000D382D" w:rsidP="006D2186">
      <w:pPr>
        <w:pStyle w:val="BodyText2"/>
        <w:numPr>
          <w:ilvl w:val="0"/>
          <w:numId w:val="2"/>
        </w:numPr>
        <w:overflowPunct/>
        <w:autoSpaceDE/>
        <w:autoSpaceDN/>
        <w:adjustRightInd/>
        <w:spacing w:after="120"/>
        <w:ind w:left="266" w:hanging="266"/>
        <w:textAlignment w:val="auto"/>
        <w:rPr>
          <w:noProof/>
        </w:rPr>
      </w:pPr>
      <w:r>
        <w:rPr>
          <w:noProof/>
        </w:rPr>
        <w:t xml:space="preserve">The percentage of </w:t>
      </w:r>
      <w:r w:rsidR="008F1A0B" w:rsidRPr="008F1A0B">
        <w:rPr>
          <w:noProof/>
        </w:rPr>
        <w:t xml:space="preserve">Malnutrition among children under five years indicators in Palestine during the period 2019-2020 </w:t>
      </w:r>
      <w:r w:rsidR="006D2186">
        <w:rPr>
          <w:noProof/>
        </w:rPr>
        <w:t>as follows</w:t>
      </w:r>
      <w:r w:rsidR="008F1A0B" w:rsidRPr="008F1A0B">
        <w:rPr>
          <w:noProof/>
        </w:rPr>
        <w:t>: (8.7% stunting, 2.1% underweight, 1.3% wasting, 8.6% overweight.</w:t>
      </w:r>
    </w:p>
    <w:p w:rsidR="0088365A" w:rsidRPr="004601D7" w:rsidRDefault="0088365A" w:rsidP="007F0A14">
      <w:pPr>
        <w:pStyle w:val="BodyText2"/>
        <w:numPr>
          <w:ilvl w:val="0"/>
          <w:numId w:val="2"/>
        </w:numPr>
        <w:overflowPunct/>
        <w:autoSpaceDE/>
        <w:autoSpaceDN/>
        <w:adjustRightInd/>
        <w:textAlignment w:val="auto"/>
        <w:rPr>
          <w:noProof/>
        </w:rPr>
      </w:pPr>
      <w:r w:rsidRPr="00007BF1">
        <w:rPr>
          <w:noProof/>
        </w:rPr>
        <w:t xml:space="preserve">In 2015-2019, Infant Mortality Rate </w:t>
      </w:r>
      <w:r w:rsidR="000D382D">
        <w:rPr>
          <w:noProof/>
        </w:rPr>
        <w:t xml:space="preserve">reached </w:t>
      </w:r>
      <w:r w:rsidRPr="00007BF1">
        <w:rPr>
          <w:noProof/>
        </w:rPr>
        <w:t>12.1 deaths per 1000 live births</w:t>
      </w:r>
      <w:r w:rsidR="000D382D">
        <w:rPr>
          <w:noProof/>
        </w:rPr>
        <w:t xml:space="preserve"> </w:t>
      </w:r>
      <w:r w:rsidR="000D382D" w:rsidRPr="00007BF1">
        <w:rPr>
          <w:noProof/>
        </w:rPr>
        <w:t>in Palestine</w:t>
      </w:r>
      <w:r w:rsidR="000D382D">
        <w:rPr>
          <w:noProof/>
        </w:rPr>
        <w:t>, whil</w:t>
      </w:r>
      <w:r w:rsidR="007F0A14">
        <w:rPr>
          <w:noProof/>
        </w:rPr>
        <w:t>e</w:t>
      </w:r>
      <w:r w:rsidRPr="00007BF1">
        <w:rPr>
          <w:noProof/>
        </w:rPr>
        <w:t xml:space="preserve">  </w:t>
      </w:r>
      <w:r w:rsidR="007F0A14">
        <w:rPr>
          <w:noProof/>
        </w:rPr>
        <w:t>u</w:t>
      </w:r>
      <w:r w:rsidRPr="00007BF1">
        <w:rPr>
          <w:noProof/>
        </w:rPr>
        <w:t xml:space="preserve">nder 5 years </w:t>
      </w:r>
      <w:r w:rsidR="007F0A14">
        <w:rPr>
          <w:noProof/>
        </w:rPr>
        <w:t>m</w:t>
      </w:r>
      <w:r w:rsidRPr="00007BF1">
        <w:rPr>
          <w:noProof/>
        </w:rPr>
        <w:t xml:space="preserve">ortality </w:t>
      </w:r>
      <w:r w:rsidR="007F0A14">
        <w:rPr>
          <w:noProof/>
        </w:rPr>
        <w:t>r</w:t>
      </w:r>
      <w:r w:rsidRPr="00007BF1">
        <w:rPr>
          <w:noProof/>
        </w:rPr>
        <w:t xml:space="preserve">ate </w:t>
      </w:r>
      <w:r w:rsidR="000D382D">
        <w:rPr>
          <w:noProof/>
        </w:rPr>
        <w:t xml:space="preserve">reached </w:t>
      </w:r>
      <w:r w:rsidRPr="00007BF1">
        <w:rPr>
          <w:noProof/>
        </w:rPr>
        <w:t>14.2 deaths per 1000 live births</w:t>
      </w:r>
      <w:r>
        <w:rPr>
          <w:noProof/>
        </w:rPr>
        <w:t>.</w:t>
      </w:r>
    </w:p>
    <w:p w:rsidR="0088365A" w:rsidRPr="008F1A0B" w:rsidRDefault="0088365A" w:rsidP="0088365A">
      <w:pPr>
        <w:pStyle w:val="BodyText2"/>
        <w:overflowPunct/>
        <w:autoSpaceDE/>
        <w:autoSpaceDN/>
        <w:adjustRightInd/>
        <w:spacing w:after="120"/>
        <w:ind w:left="266"/>
        <w:textAlignment w:val="auto"/>
        <w:rPr>
          <w:noProof/>
        </w:rPr>
      </w:pPr>
    </w:p>
    <w:p w:rsidR="00841227" w:rsidRPr="008F1A0B" w:rsidRDefault="00841227" w:rsidP="00146AB9">
      <w:pPr>
        <w:pStyle w:val="BodyText2"/>
        <w:numPr>
          <w:ilvl w:val="0"/>
          <w:numId w:val="2"/>
        </w:numPr>
        <w:overflowPunct/>
        <w:autoSpaceDE/>
        <w:autoSpaceDN/>
        <w:adjustRightInd/>
        <w:spacing w:after="120"/>
        <w:ind w:left="266" w:hanging="266"/>
        <w:textAlignment w:val="auto"/>
        <w:rPr>
          <w:rFonts w:ascii="Arial" w:hAnsi="Arial" w:cs="Arial"/>
          <w:b/>
          <w:bCs/>
          <w:noProof/>
          <w:sz w:val="18"/>
          <w:szCs w:val="18"/>
        </w:rPr>
      </w:pPr>
      <w:r w:rsidRPr="008F1A0B">
        <w:rPr>
          <w:rFonts w:ascii="Arial" w:hAnsi="Arial" w:cs="Arial"/>
          <w:b/>
          <w:bCs/>
          <w:sz w:val="18"/>
          <w:szCs w:val="18"/>
        </w:rPr>
        <w:br w:type="page"/>
      </w:r>
    </w:p>
    <w:p w:rsidR="001A32EE" w:rsidRPr="004601D7" w:rsidRDefault="001A32EE" w:rsidP="001A32EE">
      <w:pPr>
        <w:pStyle w:val="ListParagraph"/>
        <w:bidi w:val="0"/>
        <w:ind w:left="0"/>
        <w:jc w:val="center"/>
        <w:rPr>
          <w:rFonts w:ascii="Arial" w:hAnsi="Arial" w:cs="Arial"/>
          <w:b/>
          <w:bCs/>
          <w:sz w:val="18"/>
          <w:szCs w:val="18"/>
        </w:rPr>
      </w:pPr>
      <w:r w:rsidRPr="004601D7">
        <w:rPr>
          <w:rFonts w:ascii="Arial" w:hAnsi="Arial" w:cs="Arial"/>
          <w:b/>
          <w:bCs/>
          <w:sz w:val="18"/>
          <w:szCs w:val="18"/>
        </w:rPr>
        <w:lastRenderedPageBreak/>
        <w:t>Percentage of the Disabled in Palestine by Sex and Age</w:t>
      </w:r>
      <w:r w:rsidRPr="004601D7">
        <w:rPr>
          <w:rFonts w:ascii="Arial" w:hAnsi="Arial" w:cs="Arial"/>
          <w:b/>
          <w:bCs/>
          <w:sz w:val="16"/>
          <w:szCs w:val="16"/>
        </w:rPr>
        <w:t xml:space="preserve"> </w:t>
      </w:r>
      <w:r w:rsidRPr="004601D7">
        <w:rPr>
          <w:rFonts w:ascii="Arial" w:hAnsi="Arial" w:cs="Arial"/>
          <w:b/>
          <w:bCs/>
          <w:sz w:val="18"/>
          <w:szCs w:val="18"/>
        </w:rPr>
        <w:t>Group, 2017</w:t>
      </w:r>
    </w:p>
    <w:p w:rsidR="001A32EE" w:rsidRPr="004601D7" w:rsidRDefault="001A32EE" w:rsidP="001A32EE">
      <w:pPr>
        <w:pStyle w:val="ListParagraph"/>
        <w:bidi w:val="0"/>
        <w:ind w:left="0"/>
        <w:jc w:val="center"/>
        <w:rPr>
          <w:rFonts w:ascii="Arial" w:hAnsi="Arial" w:cs="Arial"/>
          <w:b/>
          <w:bCs/>
          <w:sz w:val="10"/>
          <w:szCs w:val="10"/>
        </w:rPr>
      </w:pPr>
    </w:p>
    <w:tbl>
      <w:tblPr>
        <w:tblStyle w:val="TableGrid"/>
        <w:tblW w:w="5000" w:type="pct"/>
        <w:tblLook w:val="04A0" w:firstRow="1" w:lastRow="0" w:firstColumn="1" w:lastColumn="0" w:noHBand="0" w:noVBand="1"/>
      </w:tblPr>
      <w:tblGrid>
        <w:gridCol w:w="7587"/>
      </w:tblGrid>
      <w:tr w:rsidR="00BB40F1" w:rsidRPr="004601D7" w:rsidTr="00BB40F1">
        <w:tc>
          <w:tcPr>
            <w:tcW w:w="5000" w:type="pct"/>
          </w:tcPr>
          <w:p w:rsidR="00BB40F1" w:rsidRPr="004601D7" w:rsidRDefault="00BB40F1" w:rsidP="00887A32">
            <w:pPr>
              <w:pStyle w:val="ListParagraph"/>
              <w:tabs>
                <w:tab w:val="left" w:pos="7087"/>
              </w:tabs>
              <w:bidi w:val="0"/>
              <w:ind w:left="0"/>
              <w:jc w:val="center"/>
              <w:rPr>
                <w:rFonts w:ascii="Simplified Arabic" w:hAnsi="Simplified Arabic"/>
                <w:b/>
                <w:bCs/>
                <w:noProof w:val="0"/>
                <w:sz w:val="18"/>
                <w:szCs w:val="18"/>
                <w:rtl/>
              </w:rPr>
            </w:pPr>
            <w:r w:rsidRPr="004601D7">
              <w:drawing>
                <wp:inline distT="0" distB="0" distL="0" distR="0">
                  <wp:extent cx="4197350" cy="1517650"/>
                  <wp:effectExtent l="0" t="0" r="0" b="0"/>
                  <wp:docPr id="3" name="مخطط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3A2705" w:rsidRPr="004601D7" w:rsidRDefault="003A2705" w:rsidP="0078627E">
      <w:pPr>
        <w:pStyle w:val="ListParagraph"/>
        <w:bidi w:val="0"/>
        <w:ind w:left="0"/>
        <w:jc w:val="lowKashida"/>
        <w:rPr>
          <w:rFonts w:cs="Times New Roman"/>
          <w:b/>
          <w:bCs/>
          <w:i/>
          <w:iCs/>
          <w:sz w:val="18"/>
          <w:szCs w:val="18"/>
          <w:u w:val="single"/>
        </w:rPr>
      </w:pPr>
    </w:p>
    <w:p w:rsidR="00D27191" w:rsidRPr="004601D7" w:rsidRDefault="00D27191" w:rsidP="0071022E">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health, see the tables in chapter 1.</w:t>
      </w:r>
      <w:r w:rsidR="00BB3F92" w:rsidRPr="004601D7">
        <w:rPr>
          <w:rFonts w:cs="Times New Roman"/>
          <w:b/>
          <w:bCs/>
          <w:i/>
          <w:iCs/>
          <w:sz w:val="18"/>
          <w:szCs w:val="18"/>
          <w:u w:val="single"/>
        </w:rPr>
        <w:t>4</w:t>
      </w:r>
      <w:r w:rsidRPr="004601D7">
        <w:rPr>
          <w:rFonts w:cs="Times New Roman"/>
          <w:b/>
          <w:bCs/>
          <w:i/>
          <w:iCs/>
          <w:sz w:val="18"/>
          <w:szCs w:val="18"/>
          <w:u w:val="single"/>
        </w:rPr>
        <w:t xml:space="preserve"> of the Arabic section, pages</w:t>
      </w:r>
      <w:r w:rsidRPr="004601D7">
        <w:rPr>
          <w:rFonts w:cs="Times New Roman"/>
          <w:b/>
          <w:bCs/>
          <w:i/>
          <w:iCs/>
          <w:sz w:val="18"/>
          <w:szCs w:val="18"/>
          <w:u w:val="single"/>
          <w:rtl/>
        </w:rPr>
        <w:t xml:space="preserve"> </w:t>
      </w:r>
      <w:r w:rsidR="0015308F" w:rsidRPr="004601D7">
        <w:rPr>
          <w:rFonts w:cs="Times New Roman"/>
          <w:b/>
          <w:bCs/>
          <w:i/>
          <w:iCs/>
          <w:sz w:val="18"/>
          <w:szCs w:val="18"/>
          <w:u w:val="single"/>
        </w:rPr>
        <w:t>5</w:t>
      </w:r>
      <w:r w:rsidR="0071022E" w:rsidRPr="004601D7">
        <w:rPr>
          <w:rFonts w:cs="Times New Roman"/>
          <w:b/>
          <w:bCs/>
          <w:i/>
          <w:iCs/>
          <w:sz w:val="18"/>
          <w:szCs w:val="18"/>
          <w:u w:val="single"/>
        </w:rPr>
        <w:t>7</w:t>
      </w:r>
      <w:r w:rsidRPr="004601D7">
        <w:rPr>
          <w:rFonts w:cs="Times New Roman"/>
          <w:b/>
          <w:bCs/>
          <w:i/>
          <w:iCs/>
          <w:sz w:val="18"/>
          <w:szCs w:val="18"/>
          <w:u w:val="single"/>
        </w:rPr>
        <w:t>-</w:t>
      </w:r>
      <w:r w:rsidR="0015308F" w:rsidRPr="004601D7">
        <w:rPr>
          <w:rFonts w:cs="Times New Roman"/>
          <w:b/>
          <w:bCs/>
          <w:i/>
          <w:iCs/>
          <w:sz w:val="18"/>
          <w:szCs w:val="18"/>
          <w:u w:val="single"/>
        </w:rPr>
        <w:t>6</w:t>
      </w:r>
      <w:r w:rsidR="0071022E" w:rsidRPr="004601D7">
        <w:rPr>
          <w:rFonts w:cs="Times New Roman"/>
          <w:b/>
          <w:bCs/>
          <w:i/>
          <w:iCs/>
          <w:sz w:val="18"/>
          <w:szCs w:val="18"/>
          <w:u w:val="single"/>
        </w:rPr>
        <w:t>2</w:t>
      </w:r>
      <w:r w:rsidRPr="004601D7">
        <w:rPr>
          <w:rFonts w:cs="Times New Roman"/>
          <w:b/>
          <w:bCs/>
          <w:i/>
          <w:iCs/>
          <w:sz w:val="18"/>
          <w:szCs w:val="18"/>
          <w:u w:val="single"/>
        </w:rPr>
        <w:t>.</w:t>
      </w:r>
    </w:p>
    <w:p w:rsidR="00D27191" w:rsidRPr="004601D7" w:rsidRDefault="00D27191" w:rsidP="00D27191">
      <w:pPr>
        <w:pStyle w:val="ListParagraph"/>
        <w:bidi w:val="0"/>
        <w:ind w:left="0"/>
        <w:jc w:val="lowKashida"/>
        <w:rPr>
          <w:rFonts w:cs="Times New Roman"/>
          <w:i/>
          <w:iCs/>
          <w:sz w:val="20"/>
          <w:u w:val="single"/>
        </w:rPr>
      </w:pPr>
    </w:p>
    <w:p w:rsidR="00084AEE" w:rsidRPr="004601D7" w:rsidRDefault="00084AEE" w:rsidP="00332048">
      <w:pPr>
        <w:pStyle w:val="Title"/>
        <w:numPr>
          <w:ilvl w:val="0"/>
          <w:numId w:val="19"/>
        </w:numPr>
        <w:bidi w:val="0"/>
        <w:ind w:left="252" w:hanging="252"/>
        <w:jc w:val="left"/>
        <w:rPr>
          <w:rFonts w:cs="Traditional Arabic"/>
          <w:sz w:val="20"/>
          <w:szCs w:val="20"/>
        </w:rPr>
      </w:pPr>
      <w:r w:rsidRPr="004601D7">
        <w:rPr>
          <w:rFonts w:cs="Traditional Arabic"/>
          <w:sz w:val="20"/>
          <w:szCs w:val="20"/>
        </w:rPr>
        <w:t>Housing and Housing Conditions</w:t>
      </w:r>
    </w:p>
    <w:p w:rsidR="00084AEE" w:rsidRPr="004601D7" w:rsidRDefault="00084AEE" w:rsidP="00C41B5B">
      <w:pPr>
        <w:pStyle w:val="BodyText2"/>
        <w:numPr>
          <w:ilvl w:val="0"/>
          <w:numId w:val="2"/>
        </w:numPr>
        <w:overflowPunct/>
        <w:autoSpaceDE/>
        <w:autoSpaceDN/>
        <w:adjustRightInd/>
        <w:spacing w:after="120"/>
        <w:ind w:left="266" w:hanging="266"/>
        <w:textAlignment w:val="auto"/>
        <w:rPr>
          <w:noProof/>
        </w:rPr>
      </w:pPr>
      <w:r w:rsidRPr="004601D7">
        <w:rPr>
          <w:noProof/>
        </w:rPr>
        <w:t xml:space="preserve">In </w:t>
      </w:r>
      <w:r w:rsidR="007C76C5" w:rsidRPr="004601D7">
        <w:rPr>
          <w:noProof/>
        </w:rPr>
        <w:t>2019</w:t>
      </w:r>
      <w:r w:rsidRPr="004601D7">
        <w:rPr>
          <w:noProof/>
        </w:rPr>
        <w:t xml:space="preserve">, </w:t>
      </w:r>
      <w:r w:rsidR="00D86CF8" w:rsidRPr="004601D7">
        <w:rPr>
          <w:noProof/>
        </w:rPr>
        <w:t xml:space="preserve">the </w:t>
      </w:r>
      <w:r w:rsidRPr="004601D7">
        <w:rPr>
          <w:noProof/>
        </w:rPr>
        <w:t xml:space="preserve">average housing density in Palestine was </w:t>
      </w:r>
      <w:r w:rsidRPr="004601D7">
        <w:rPr>
          <w:rFonts w:hint="cs"/>
          <w:noProof/>
          <w:rtl/>
        </w:rPr>
        <w:t>1.4</w:t>
      </w:r>
      <w:r w:rsidRPr="004601D7">
        <w:rPr>
          <w:noProof/>
        </w:rPr>
        <w:t xml:space="preserve"> persons per room. The average for the West Bank was 1.</w:t>
      </w:r>
      <w:r w:rsidRPr="004601D7">
        <w:rPr>
          <w:rFonts w:hint="cs"/>
          <w:noProof/>
          <w:rtl/>
        </w:rPr>
        <w:t>3</w:t>
      </w:r>
      <w:r w:rsidRPr="004601D7">
        <w:rPr>
          <w:noProof/>
        </w:rPr>
        <w:t xml:space="preserve"> </w:t>
      </w:r>
      <w:r w:rsidR="00C41B5B" w:rsidRPr="004601D7">
        <w:rPr>
          <w:noProof/>
        </w:rPr>
        <w:t xml:space="preserve">persons per room </w:t>
      </w:r>
      <w:r w:rsidRPr="004601D7">
        <w:rPr>
          <w:noProof/>
        </w:rPr>
        <w:t xml:space="preserve">compared with </w:t>
      </w:r>
      <w:r w:rsidRPr="004601D7">
        <w:rPr>
          <w:rFonts w:hint="cs"/>
          <w:noProof/>
          <w:rtl/>
        </w:rPr>
        <w:t>1.6</w:t>
      </w:r>
      <w:r w:rsidRPr="004601D7">
        <w:rPr>
          <w:noProof/>
        </w:rPr>
        <w:t xml:space="preserve"> persons per room in Gaza Strip</w:t>
      </w:r>
      <w:r w:rsidR="00C41B5B" w:rsidRPr="004601D7">
        <w:t>.</w:t>
      </w:r>
    </w:p>
    <w:p w:rsidR="00084AEE" w:rsidRPr="004601D7" w:rsidRDefault="0015308F" w:rsidP="00C41B5B">
      <w:pPr>
        <w:pStyle w:val="BodyText2"/>
        <w:numPr>
          <w:ilvl w:val="0"/>
          <w:numId w:val="2"/>
        </w:numPr>
        <w:overflowPunct/>
        <w:autoSpaceDE/>
        <w:autoSpaceDN/>
        <w:adjustRightInd/>
        <w:spacing w:after="120"/>
        <w:ind w:left="266" w:hanging="266"/>
        <w:textAlignment w:val="auto"/>
        <w:rPr>
          <w:noProof/>
        </w:rPr>
      </w:pPr>
      <w:r w:rsidRPr="004601D7">
        <w:rPr>
          <w:noProof/>
        </w:rPr>
        <w:t xml:space="preserve">In </w:t>
      </w:r>
      <w:r w:rsidR="005F02E8" w:rsidRPr="004601D7">
        <w:rPr>
          <w:noProof/>
        </w:rPr>
        <w:t>2019</w:t>
      </w:r>
      <w:r w:rsidRPr="004601D7">
        <w:rPr>
          <w:noProof/>
        </w:rPr>
        <w:t>,</w:t>
      </w:r>
      <w:r w:rsidR="00084AEE" w:rsidRPr="004601D7">
        <w:rPr>
          <w:noProof/>
        </w:rPr>
        <w:t xml:space="preserve"> 1.</w:t>
      </w:r>
      <w:r w:rsidR="00C805EB" w:rsidRPr="004601D7">
        <w:rPr>
          <w:noProof/>
        </w:rPr>
        <w:t>0</w:t>
      </w:r>
      <w:r w:rsidR="00084AEE" w:rsidRPr="004601D7">
        <w:rPr>
          <w:noProof/>
        </w:rPr>
        <w:t xml:space="preserve">% of households in Palestine lived in a villa, </w:t>
      </w:r>
      <w:r w:rsidR="00C805EB" w:rsidRPr="004601D7">
        <w:rPr>
          <w:noProof/>
        </w:rPr>
        <w:t>38.8</w:t>
      </w:r>
      <w:r w:rsidR="00084AEE" w:rsidRPr="004601D7">
        <w:rPr>
          <w:noProof/>
        </w:rPr>
        <w:t xml:space="preserve">% lived in a house, and </w:t>
      </w:r>
      <w:r w:rsidR="00C805EB" w:rsidRPr="004601D7">
        <w:rPr>
          <w:noProof/>
        </w:rPr>
        <w:t>59.2</w:t>
      </w:r>
      <w:r w:rsidR="00084AEE" w:rsidRPr="004601D7">
        <w:rPr>
          <w:noProof/>
        </w:rPr>
        <w:t>% lived in an apartment.</w:t>
      </w:r>
    </w:p>
    <w:p w:rsidR="00B01406" w:rsidRPr="004601D7" w:rsidRDefault="00B01406" w:rsidP="00B01406">
      <w:pPr>
        <w:pStyle w:val="ListParagraph"/>
        <w:bidi w:val="0"/>
        <w:ind w:left="0"/>
        <w:jc w:val="lowKashida"/>
        <w:rPr>
          <w:rFonts w:cs="Times New Roman"/>
          <w:b/>
          <w:bCs/>
          <w:i/>
          <w:iCs/>
          <w:sz w:val="18"/>
          <w:szCs w:val="18"/>
          <w:u w:val="single"/>
        </w:rPr>
      </w:pPr>
    </w:p>
    <w:p w:rsidR="00084AEE" w:rsidRPr="004601D7" w:rsidRDefault="00084AEE" w:rsidP="00FA4362">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 xml:space="preserve">For more details on housing and housing conditions, see the tables in chapter 1.5 of the Arabic section, pages </w:t>
      </w:r>
      <w:r w:rsidR="0015308F" w:rsidRPr="004601D7">
        <w:rPr>
          <w:rFonts w:cs="Times New Roman"/>
          <w:b/>
          <w:bCs/>
          <w:i/>
          <w:iCs/>
          <w:sz w:val="18"/>
          <w:szCs w:val="18"/>
          <w:u w:val="single"/>
        </w:rPr>
        <w:t>6</w:t>
      </w:r>
      <w:r w:rsidR="00FA4362" w:rsidRPr="004601D7">
        <w:rPr>
          <w:rFonts w:cs="Times New Roman"/>
          <w:b/>
          <w:bCs/>
          <w:i/>
          <w:iCs/>
          <w:sz w:val="18"/>
          <w:szCs w:val="18"/>
          <w:u w:val="single"/>
        </w:rPr>
        <w:t>3</w:t>
      </w:r>
      <w:r w:rsidRPr="004601D7">
        <w:rPr>
          <w:rFonts w:cs="Times New Roman"/>
          <w:b/>
          <w:bCs/>
          <w:i/>
          <w:iCs/>
          <w:sz w:val="18"/>
          <w:szCs w:val="18"/>
          <w:u w:val="single"/>
        </w:rPr>
        <w:t>-</w:t>
      </w:r>
      <w:r w:rsidR="0015308F" w:rsidRPr="004601D7">
        <w:rPr>
          <w:rFonts w:cs="Times New Roman"/>
          <w:b/>
          <w:bCs/>
          <w:i/>
          <w:iCs/>
          <w:sz w:val="18"/>
          <w:szCs w:val="18"/>
          <w:u w:val="single"/>
        </w:rPr>
        <w:t>7</w:t>
      </w:r>
      <w:r w:rsidR="00FA4362" w:rsidRPr="004601D7">
        <w:rPr>
          <w:rFonts w:cs="Times New Roman"/>
          <w:b/>
          <w:bCs/>
          <w:i/>
          <w:iCs/>
          <w:sz w:val="18"/>
          <w:szCs w:val="18"/>
          <w:u w:val="single"/>
        </w:rPr>
        <w:t>0</w:t>
      </w:r>
      <w:r w:rsidRPr="004601D7">
        <w:rPr>
          <w:rFonts w:cs="Times New Roman"/>
          <w:b/>
          <w:bCs/>
          <w:i/>
          <w:iCs/>
          <w:sz w:val="18"/>
          <w:szCs w:val="18"/>
          <w:u w:val="single"/>
        </w:rPr>
        <w:t>.</w:t>
      </w:r>
    </w:p>
    <w:p w:rsidR="00456A8A" w:rsidRPr="004601D7" w:rsidRDefault="00387F72">
      <w:pPr>
        <w:overflowPunct/>
        <w:autoSpaceDE/>
        <w:autoSpaceDN/>
        <w:adjustRightInd/>
        <w:textAlignment w:val="auto"/>
        <w:rPr>
          <w:rFonts w:cs="Traditional Arabic"/>
          <w:b/>
          <w:bCs/>
          <w:noProof/>
        </w:rPr>
      </w:pPr>
      <w:r>
        <w:rPr>
          <w:noProof/>
        </w:rPr>
        <w:pict>
          <v:rect id="_x0000_s1033" style="position:absolute;margin-left:145.35pt;margin-top:3.65pt;width:215.95pt;height:22.55pt;z-index:251669504" stroked="f">
            <v:textbox style="mso-next-textbox:#_x0000_s1033">
              <w:txbxContent>
                <w:p w:rsidR="00613BC8" w:rsidRPr="00B21BC2" w:rsidRDefault="00613BC8" w:rsidP="00B21BC2">
                  <w:pPr>
                    <w:jc w:val="center"/>
                    <w:rPr>
                      <w:b/>
                      <w:bCs/>
                      <w:sz w:val="14"/>
                      <w:szCs w:val="14"/>
                    </w:rPr>
                  </w:pPr>
                  <w:r w:rsidRPr="00B21BC2">
                    <w:rPr>
                      <w:rFonts w:ascii="Arial" w:hAnsi="Arial"/>
                      <w:b/>
                      <w:bCs/>
                      <w:snapToGrid w:val="0"/>
                      <w:sz w:val="14"/>
                      <w:szCs w:val="14"/>
                    </w:rPr>
                    <w:t xml:space="preserve">Unemployment </w:t>
                  </w:r>
                  <w:r w:rsidR="00B21BC2" w:rsidRPr="00B21BC2">
                    <w:rPr>
                      <w:rFonts w:ascii="Arial" w:hAnsi="Arial"/>
                      <w:b/>
                      <w:bCs/>
                      <w:snapToGrid w:val="0"/>
                      <w:sz w:val="14"/>
                      <w:szCs w:val="14"/>
                    </w:rPr>
                    <w:t>Rate</w:t>
                  </w:r>
                  <w:r w:rsidR="00B21BC2" w:rsidRPr="00B21BC2">
                    <w:rPr>
                      <w:rFonts w:ascii="Arial" w:hAnsi="Arial" w:cs="Arial"/>
                      <w:b/>
                      <w:bCs/>
                      <w:noProof/>
                      <w:sz w:val="14"/>
                      <w:szCs w:val="14"/>
                      <w:lang w:val="en-GB"/>
                    </w:rPr>
                    <w:t xml:space="preserve"> Among Persons (15Years and Above) in Palestine </w:t>
                  </w:r>
                  <w:r w:rsidRPr="00B21BC2">
                    <w:rPr>
                      <w:rFonts w:ascii="Arial" w:hAnsi="Arial" w:cs="Arial"/>
                      <w:b/>
                      <w:bCs/>
                      <w:noProof/>
                      <w:sz w:val="14"/>
                      <w:szCs w:val="14"/>
                      <w:lang w:val="en-GB"/>
                    </w:rPr>
                    <w:t>by Governorate</w:t>
                  </w:r>
                  <w:r w:rsidRPr="00B21BC2">
                    <w:rPr>
                      <w:b/>
                      <w:bCs/>
                      <w:sz w:val="14"/>
                      <w:szCs w:val="14"/>
                    </w:rPr>
                    <w:t>, 2019</w:t>
                  </w:r>
                </w:p>
              </w:txbxContent>
            </v:textbox>
            <w10:wrap anchorx="page"/>
          </v:rect>
        </w:pict>
      </w:r>
      <w:r w:rsidR="00240C22" w:rsidRPr="004601D7">
        <w:rPr>
          <w:noProof/>
        </w:rPr>
        <w:drawing>
          <wp:anchor distT="0" distB="0" distL="114300" distR="114300" simplePos="0" relativeHeight="251658240" behindDoc="0" locked="0" layoutInCell="1" allowOverlap="1" wp14:anchorId="07592A34" wp14:editId="02B4CC6F">
            <wp:simplePos x="0" y="0"/>
            <wp:positionH relativeFrom="column">
              <wp:posOffset>1759262</wp:posOffset>
            </wp:positionH>
            <wp:positionV relativeFrom="paragraph">
              <wp:posOffset>8141</wp:posOffset>
            </wp:positionV>
            <wp:extent cx="2915920" cy="3599815"/>
            <wp:effectExtent l="19050" t="19050" r="0" b="635"/>
            <wp:wrapSquare wrapText="bothSides"/>
            <wp:docPr id="10" name="Picture 10" descr="G:\كتاب فلسطين الاحصائي السنوي 2020 نهائي\كتاب فلسطين الاحصائي السنوي 2020-PHCD\خرائط\Unemployment_2020_En.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G:\كتاب فلسطين الاحصائي السنوي 2020 نهائي\كتاب فلسطين الاحصائي السنوي 2020-PHCD\خرائط\Unemployment_2020_En.png"/>
                    <pic:cNvPicPr>
                      <a:picLocks noChangeAspect="1" noChangeArrowheads="1"/>
                    </pic:cNvPicPr>
                  </pic:nvPicPr>
                  <pic:blipFill rotWithShape="1">
                    <a:blip r:embed="rId12">
                      <a:extLst>
                        <a:ext uri="{28A0092B-C50C-407E-A947-70E740481C1C}">
                          <a14:useLocalDpi xmlns:a14="http://schemas.microsoft.com/office/drawing/2010/main" val="0"/>
                        </a:ext>
                      </a:extLst>
                    </a:blip>
                    <a:srcRect l="6362" t="11893" r="4791" b="15458"/>
                    <a:stretch/>
                  </pic:blipFill>
                  <pic:spPr bwMode="auto">
                    <a:xfrm>
                      <a:off x="0" y="0"/>
                      <a:ext cx="2915920" cy="3599815"/>
                    </a:xfrm>
                    <a:prstGeom prst="rect">
                      <a:avLst/>
                    </a:prstGeom>
                    <a:noFill/>
                    <a:ln>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A6806" w:rsidRPr="004601D7" w:rsidRDefault="00CA6806" w:rsidP="00CA6806">
      <w:pPr>
        <w:pStyle w:val="Title"/>
        <w:numPr>
          <w:ilvl w:val="0"/>
          <w:numId w:val="19"/>
        </w:numPr>
        <w:bidi w:val="0"/>
        <w:ind w:left="252" w:hanging="252"/>
        <w:jc w:val="left"/>
        <w:rPr>
          <w:rFonts w:cs="Traditional Arabic"/>
          <w:sz w:val="20"/>
          <w:szCs w:val="20"/>
        </w:rPr>
      </w:pPr>
      <w:r w:rsidRPr="004601D7">
        <w:rPr>
          <w:rFonts w:cs="Traditional Arabic"/>
          <w:sz w:val="20"/>
          <w:szCs w:val="20"/>
        </w:rPr>
        <w:t>Labo</w:t>
      </w:r>
      <w:r w:rsidR="00575A5D" w:rsidRPr="004601D7">
        <w:rPr>
          <w:rFonts w:cs="Traditional Arabic"/>
          <w:sz w:val="20"/>
          <w:szCs w:val="20"/>
        </w:rPr>
        <w:t>u</w:t>
      </w:r>
      <w:r w:rsidRPr="004601D7">
        <w:rPr>
          <w:rFonts w:cs="Traditional Arabic"/>
          <w:sz w:val="20"/>
          <w:szCs w:val="20"/>
        </w:rPr>
        <w:t xml:space="preserve">r and Wages                               </w:t>
      </w:r>
    </w:p>
    <w:p w:rsidR="00BA27DA" w:rsidRPr="004601D7" w:rsidRDefault="00387F72" w:rsidP="00A90B79">
      <w:pPr>
        <w:pStyle w:val="BodyText2"/>
        <w:numPr>
          <w:ilvl w:val="0"/>
          <w:numId w:val="2"/>
        </w:numPr>
        <w:overflowPunct/>
        <w:autoSpaceDE/>
        <w:autoSpaceDN/>
        <w:adjustRightInd/>
        <w:spacing w:after="120"/>
        <w:ind w:left="266" w:hanging="266"/>
        <w:textAlignment w:val="auto"/>
        <w:rPr>
          <w:noProof/>
        </w:rPr>
      </w:pPr>
      <w:r>
        <w:rPr>
          <w:noProof/>
        </w:rPr>
        <w:pict>
          <v:rect id="_x0000_s1032" style="position:absolute;left:0;text-align:left;margin-left:88.85pt;margin-top:57.4pt;width:10.7pt;height:16.6pt;z-index:251668480" stroked="f">
            <w10:wrap anchorx="page"/>
          </v:rect>
        </w:pict>
      </w:r>
      <w:r w:rsidR="00CA6806" w:rsidRPr="004601D7">
        <w:rPr>
          <w:noProof/>
        </w:rPr>
        <w:t>In 201</w:t>
      </w:r>
      <w:r w:rsidR="00D44937" w:rsidRPr="004601D7">
        <w:rPr>
          <w:noProof/>
        </w:rPr>
        <w:t>9</w:t>
      </w:r>
      <w:r w:rsidR="00CA6806" w:rsidRPr="004601D7">
        <w:rPr>
          <w:noProof/>
        </w:rPr>
        <w:t>, the labo</w:t>
      </w:r>
      <w:r w:rsidR="00575A5D" w:rsidRPr="004601D7">
        <w:rPr>
          <w:noProof/>
        </w:rPr>
        <w:t>u</w:t>
      </w:r>
      <w:r w:rsidR="00CA6806" w:rsidRPr="004601D7">
        <w:rPr>
          <w:noProof/>
        </w:rPr>
        <w:t>r force participation rate</w:t>
      </w:r>
      <w:r w:rsidR="00D44937" w:rsidRPr="004601D7">
        <w:rPr>
          <w:noProof/>
        </w:rPr>
        <w:t xml:space="preserve"> for persons (15 years and above)</w:t>
      </w:r>
      <w:r w:rsidR="00CA6806" w:rsidRPr="004601D7">
        <w:rPr>
          <w:noProof/>
        </w:rPr>
        <w:t xml:space="preserve"> in Palestine was 4</w:t>
      </w:r>
      <w:r w:rsidR="00D44937" w:rsidRPr="004601D7">
        <w:rPr>
          <w:noProof/>
        </w:rPr>
        <w:t>4</w:t>
      </w:r>
      <w:r w:rsidR="00CA6806" w:rsidRPr="004601D7">
        <w:rPr>
          <w:noProof/>
        </w:rPr>
        <w:t>.</w:t>
      </w:r>
      <w:r w:rsidR="00D44937" w:rsidRPr="004601D7">
        <w:rPr>
          <w:noProof/>
        </w:rPr>
        <w:t>3</w:t>
      </w:r>
      <w:r w:rsidR="00CA6806" w:rsidRPr="004601D7">
        <w:rPr>
          <w:noProof/>
        </w:rPr>
        <w:t xml:space="preserve">%: </w:t>
      </w:r>
      <w:r w:rsidR="00D44937" w:rsidRPr="004601D7">
        <w:rPr>
          <w:noProof/>
        </w:rPr>
        <w:t>69</w:t>
      </w:r>
      <w:r w:rsidR="00CA6806" w:rsidRPr="004601D7">
        <w:rPr>
          <w:noProof/>
        </w:rPr>
        <w:t>.</w:t>
      </w:r>
      <w:r w:rsidR="00D44937" w:rsidRPr="004601D7">
        <w:rPr>
          <w:noProof/>
        </w:rPr>
        <w:t>9</w:t>
      </w:r>
      <w:r w:rsidR="00CA6806" w:rsidRPr="004601D7">
        <w:rPr>
          <w:noProof/>
        </w:rPr>
        <w:t xml:space="preserve">% for males and </w:t>
      </w:r>
      <w:r w:rsidR="00D44937" w:rsidRPr="004601D7">
        <w:rPr>
          <w:noProof/>
        </w:rPr>
        <w:t>18.1</w:t>
      </w:r>
      <w:r w:rsidR="00CA6806" w:rsidRPr="004601D7">
        <w:rPr>
          <w:noProof/>
        </w:rPr>
        <w:t>% for females.</w:t>
      </w:r>
      <w:r w:rsidR="00F64A1E" w:rsidRPr="004601D7">
        <w:rPr>
          <w:snapToGrid w:val="0"/>
          <w:w w:val="0"/>
          <w:sz w:val="0"/>
          <w:szCs w:val="0"/>
          <w:u w:color="000000"/>
          <w:bdr w:val="none" w:sz="0" w:space="0" w:color="000000"/>
          <w:shd w:val="clear" w:color="000000" w:fill="000000"/>
          <w:lang w:val="x-none" w:eastAsia="x-none" w:bidi="x-none"/>
        </w:rPr>
        <w:t xml:space="preserve"> </w:t>
      </w:r>
    </w:p>
    <w:p w:rsidR="00CA6806" w:rsidRPr="004601D7" w:rsidRDefault="00CA6806" w:rsidP="00B21BC2">
      <w:pPr>
        <w:pStyle w:val="BodyText2"/>
        <w:numPr>
          <w:ilvl w:val="0"/>
          <w:numId w:val="2"/>
        </w:numPr>
        <w:overflowPunct/>
        <w:autoSpaceDE/>
        <w:autoSpaceDN/>
        <w:adjustRightInd/>
        <w:spacing w:after="120"/>
        <w:ind w:left="266" w:hanging="266"/>
        <w:textAlignment w:val="auto"/>
        <w:rPr>
          <w:noProof/>
        </w:rPr>
      </w:pPr>
      <w:r w:rsidRPr="004601D7">
        <w:rPr>
          <w:noProof/>
        </w:rPr>
        <w:t>In 201</w:t>
      </w:r>
      <w:r w:rsidR="00D44937" w:rsidRPr="004601D7">
        <w:rPr>
          <w:noProof/>
        </w:rPr>
        <w:t>9</w:t>
      </w:r>
      <w:r w:rsidRPr="004601D7">
        <w:rPr>
          <w:noProof/>
        </w:rPr>
        <w:t xml:space="preserve">, the unemployment rate was </w:t>
      </w:r>
      <w:r w:rsidR="00D44937" w:rsidRPr="004601D7">
        <w:rPr>
          <w:noProof/>
        </w:rPr>
        <w:t>25.3</w:t>
      </w:r>
      <w:r w:rsidRPr="004601D7">
        <w:rPr>
          <w:noProof/>
        </w:rPr>
        <w:t>% in Palestine: 2</w:t>
      </w:r>
      <w:r w:rsidR="00D44937" w:rsidRPr="004601D7">
        <w:rPr>
          <w:noProof/>
        </w:rPr>
        <w:t>1.3</w:t>
      </w:r>
      <w:r w:rsidRPr="004601D7">
        <w:rPr>
          <w:noProof/>
        </w:rPr>
        <w:t xml:space="preserve">% for males </w:t>
      </w:r>
      <w:r w:rsidR="00B21BC2" w:rsidRPr="004601D7">
        <w:rPr>
          <w:noProof/>
        </w:rPr>
        <w:t xml:space="preserve">against </w:t>
      </w:r>
      <w:r w:rsidRPr="004601D7">
        <w:rPr>
          <w:noProof/>
        </w:rPr>
        <w:t xml:space="preserve"> </w:t>
      </w:r>
      <w:r w:rsidR="00C41B5B" w:rsidRPr="004601D7">
        <w:rPr>
          <w:noProof/>
        </w:rPr>
        <w:t>41.2</w:t>
      </w:r>
      <w:r w:rsidRPr="004601D7">
        <w:rPr>
          <w:noProof/>
        </w:rPr>
        <w:t>% for females.</w:t>
      </w:r>
    </w:p>
    <w:p w:rsidR="00CA6806" w:rsidRPr="004601D7" w:rsidRDefault="00CA6806" w:rsidP="00D44937">
      <w:pPr>
        <w:pStyle w:val="BodyText2"/>
        <w:numPr>
          <w:ilvl w:val="0"/>
          <w:numId w:val="2"/>
        </w:numPr>
        <w:overflowPunct/>
        <w:autoSpaceDE/>
        <w:autoSpaceDN/>
        <w:adjustRightInd/>
        <w:spacing w:after="120"/>
        <w:ind w:left="266" w:hanging="266"/>
        <w:textAlignment w:val="auto"/>
        <w:rPr>
          <w:noProof/>
        </w:rPr>
      </w:pPr>
      <w:r w:rsidRPr="004601D7">
        <w:rPr>
          <w:noProof/>
        </w:rPr>
        <w:t>Most workers (</w:t>
      </w:r>
      <w:r w:rsidR="00D44937" w:rsidRPr="004601D7">
        <w:rPr>
          <w:noProof/>
        </w:rPr>
        <w:t>71.4</w:t>
      </w:r>
      <w:r w:rsidRPr="004601D7">
        <w:rPr>
          <w:noProof/>
        </w:rPr>
        <w:t xml:space="preserve">%) in Palestine, in </w:t>
      </w:r>
      <w:r w:rsidRPr="004601D7">
        <w:rPr>
          <w:rFonts w:hint="cs"/>
          <w:noProof/>
          <w:rtl/>
        </w:rPr>
        <w:t>201</w:t>
      </w:r>
      <w:r w:rsidR="00D44937" w:rsidRPr="004601D7">
        <w:rPr>
          <w:noProof/>
        </w:rPr>
        <w:t>9</w:t>
      </w:r>
      <w:r w:rsidRPr="004601D7">
        <w:rPr>
          <w:noProof/>
        </w:rPr>
        <w:t xml:space="preserve">, were waged employees: </w:t>
      </w:r>
      <w:r w:rsidR="00D44937" w:rsidRPr="004601D7">
        <w:rPr>
          <w:noProof/>
        </w:rPr>
        <w:t>91.1</w:t>
      </w:r>
      <w:r w:rsidRPr="004601D7">
        <w:rPr>
          <w:noProof/>
        </w:rPr>
        <w:t xml:space="preserve">% of workers </w:t>
      </w:r>
      <w:r w:rsidR="00573C4D" w:rsidRPr="004601D7">
        <w:rPr>
          <w:noProof/>
        </w:rPr>
        <w:t>work</w:t>
      </w:r>
      <w:r w:rsidR="00054FF8" w:rsidRPr="004601D7">
        <w:rPr>
          <w:noProof/>
        </w:rPr>
        <w:t xml:space="preserve">ing </w:t>
      </w:r>
      <w:r w:rsidRPr="004601D7">
        <w:rPr>
          <w:noProof/>
        </w:rPr>
        <w:t>in Israel and Israeli settlements are waged employees.</w:t>
      </w:r>
    </w:p>
    <w:p w:rsidR="00CA6806" w:rsidRPr="004601D7" w:rsidRDefault="00D44937" w:rsidP="00B21BC2">
      <w:pPr>
        <w:pStyle w:val="BodyText2"/>
        <w:numPr>
          <w:ilvl w:val="0"/>
          <w:numId w:val="2"/>
        </w:numPr>
        <w:overflowPunct/>
        <w:autoSpaceDE/>
        <w:autoSpaceDN/>
        <w:adjustRightInd/>
        <w:spacing w:after="120"/>
        <w:ind w:left="266" w:hanging="266"/>
        <w:textAlignment w:val="auto"/>
        <w:rPr>
          <w:noProof/>
        </w:rPr>
      </w:pPr>
      <w:r w:rsidRPr="004601D7">
        <w:rPr>
          <w:noProof/>
        </w:rPr>
        <w:t>3.0</w:t>
      </w:r>
      <w:r w:rsidR="00CA6806" w:rsidRPr="004601D7">
        <w:rPr>
          <w:noProof/>
        </w:rPr>
        <w:t>% of children in Palestine were employme</w:t>
      </w:r>
      <w:r w:rsidR="00B21BC2" w:rsidRPr="004601D7">
        <w:rPr>
          <w:noProof/>
        </w:rPr>
        <w:t>d</w:t>
      </w:r>
      <w:r w:rsidR="00CA6806" w:rsidRPr="004601D7">
        <w:rPr>
          <w:noProof/>
        </w:rPr>
        <w:t>: 5.</w:t>
      </w:r>
      <w:r w:rsidRPr="004601D7">
        <w:rPr>
          <w:noProof/>
        </w:rPr>
        <w:t>8</w:t>
      </w:r>
      <w:r w:rsidR="00CA6806" w:rsidRPr="004601D7">
        <w:rPr>
          <w:noProof/>
        </w:rPr>
        <w:t>% males and 0.2% females in 201</w:t>
      </w:r>
      <w:r w:rsidRPr="004601D7">
        <w:rPr>
          <w:noProof/>
        </w:rPr>
        <w:t>9</w:t>
      </w:r>
      <w:r w:rsidR="00CA6806" w:rsidRPr="004601D7">
        <w:rPr>
          <w:noProof/>
        </w:rPr>
        <w:t>.</w:t>
      </w:r>
    </w:p>
    <w:p w:rsidR="00CA6806" w:rsidRPr="004601D7" w:rsidRDefault="00CA6806" w:rsidP="00D44937">
      <w:pPr>
        <w:jc w:val="center"/>
        <w:rPr>
          <w:rFonts w:ascii="Arial" w:hAnsi="Arial" w:cs="Arial"/>
          <w:b/>
          <w:bCs/>
          <w:snapToGrid w:val="0"/>
          <w:sz w:val="18"/>
          <w:szCs w:val="18"/>
        </w:rPr>
      </w:pPr>
      <w:r w:rsidRPr="004601D7">
        <w:rPr>
          <w:rFonts w:ascii="Arial" w:hAnsi="Arial" w:cs="Arial"/>
          <w:b/>
          <w:bCs/>
          <w:snapToGrid w:val="0"/>
          <w:sz w:val="18"/>
          <w:szCs w:val="18"/>
        </w:rPr>
        <w:lastRenderedPageBreak/>
        <w:t xml:space="preserve">Percentage of </w:t>
      </w:r>
      <w:r w:rsidR="008832A6" w:rsidRPr="004601D7">
        <w:rPr>
          <w:rFonts w:ascii="Arial" w:hAnsi="Arial" w:cs="Arial"/>
          <w:b/>
          <w:bCs/>
          <w:snapToGrid w:val="0"/>
          <w:sz w:val="18"/>
          <w:szCs w:val="18"/>
        </w:rPr>
        <w:t xml:space="preserve">Individuals </w:t>
      </w:r>
      <w:r w:rsidRPr="004601D7">
        <w:rPr>
          <w:rFonts w:ascii="Arial" w:hAnsi="Arial" w:cs="Arial"/>
          <w:b/>
          <w:bCs/>
          <w:snapToGrid w:val="0"/>
          <w:sz w:val="18"/>
          <w:szCs w:val="18"/>
        </w:rPr>
        <w:t>(15 Years and Above) in Palestine by Labo</w:t>
      </w:r>
      <w:r w:rsidR="00575A5D" w:rsidRPr="004601D7">
        <w:rPr>
          <w:rFonts w:ascii="Arial" w:hAnsi="Arial" w:cs="Arial"/>
          <w:b/>
          <w:bCs/>
          <w:snapToGrid w:val="0"/>
          <w:sz w:val="18"/>
          <w:szCs w:val="18"/>
        </w:rPr>
        <w:t>u</w:t>
      </w:r>
      <w:r w:rsidRPr="004601D7">
        <w:rPr>
          <w:rFonts w:ascii="Arial" w:hAnsi="Arial" w:cs="Arial"/>
          <w:b/>
          <w:bCs/>
          <w:snapToGrid w:val="0"/>
          <w:sz w:val="18"/>
          <w:szCs w:val="18"/>
        </w:rPr>
        <w:t>r Force Status and Age Groups, 201</w:t>
      </w:r>
      <w:r w:rsidR="00D44937" w:rsidRPr="004601D7">
        <w:rPr>
          <w:rFonts w:ascii="Arial" w:hAnsi="Arial" w:cs="Arial"/>
          <w:b/>
          <w:bCs/>
          <w:snapToGrid w:val="0"/>
          <w:sz w:val="18"/>
          <w:szCs w:val="18"/>
        </w:rPr>
        <w:t>9</w:t>
      </w:r>
    </w:p>
    <w:p w:rsidR="00CA6806" w:rsidRPr="004601D7" w:rsidRDefault="00CA6806" w:rsidP="00CA6806">
      <w:pPr>
        <w:jc w:val="center"/>
        <w:rPr>
          <w:rFonts w:ascii="Arial" w:hAnsi="Arial" w:cs="Arial"/>
          <w:b/>
          <w:bCs/>
          <w:snapToGrid w:val="0"/>
          <w:sz w:val="10"/>
          <w:szCs w:val="10"/>
        </w:rPr>
      </w:pPr>
    </w:p>
    <w:p w:rsidR="00CA6806" w:rsidRPr="004601D7" w:rsidRDefault="00D44937" w:rsidP="00F64A1E">
      <w:pPr>
        <w:jc w:val="center"/>
        <w:rPr>
          <w:b/>
          <w:bCs/>
          <w:rtl/>
        </w:rPr>
      </w:pPr>
      <w:r w:rsidRPr="004601D7">
        <w:rPr>
          <w:rFonts w:ascii="Arial" w:hAnsi="Arial" w:cs="Arial"/>
          <w:b/>
          <w:bCs/>
          <w:noProof/>
          <w:sz w:val="18"/>
          <w:szCs w:val="18"/>
          <w:bdr w:val="single" w:sz="4" w:space="0" w:color="auto"/>
          <w:vertAlign w:val="subscript"/>
        </w:rPr>
        <w:drawing>
          <wp:inline distT="0" distB="0" distL="0" distR="0" wp14:anchorId="1A9FE79E" wp14:editId="038547AF">
            <wp:extent cx="4651375" cy="1936750"/>
            <wp:effectExtent l="0" t="0" r="0" b="0"/>
            <wp:docPr id="14"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84AEE" w:rsidRPr="004601D7" w:rsidRDefault="00084AEE" w:rsidP="002C5122">
      <w:pPr>
        <w:pStyle w:val="ListParagraph"/>
        <w:bidi w:val="0"/>
        <w:ind w:left="0"/>
        <w:jc w:val="lowKashida"/>
        <w:rPr>
          <w:rFonts w:cs="Times New Roman"/>
          <w:i/>
          <w:iCs/>
          <w:sz w:val="20"/>
          <w:u w:val="single"/>
        </w:rPr>
      </w:pPr>
    </w:p>
    <w:p w:rsidR="002C5122" w:rsidRPr="004601D7" w:rsidRDefault="002C5122" w:rsidP="004445CA">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labo</w:t>
      </w:r>
      <w:r w:rsidR="00575A5D" w:rsidRPr="004601D7">
        <w:rPr>
          <w:rFonts w:cs="Times New Roman"/>
          <w:b/>
          <w:bCs/>
          <w:i/>
          <w:iCs/>
          <w:sz w:val="18"/>
          <w:szCs w:val="18"/>
          <w:u w:val="single"/>
        </w:rPr>
        <w:t>u</w:t>
      </w:r>
      <w:r w:rsidRPr="004601D7">
        <w:rPr>
          <w:rFonts w:cs="Times New Roman"/>
          <w:b/>
          <w:bCs/>
          <w:i/>
          <w:iCs/>
          <w:sz w:val="18"/>
          <w:szCs w:val="18"/>
          <w:u w:val="single"/>
        </w:rPr>
        <w:t>r and wages, see the tables in chapter 1.</w:t>
      </w:r>
      <w:r w:rsidR="00084AEE" w:rsidRPr="004601D7">
        <w:rPr>
          <w:rFonts w:cs="Times New Roman"/>
          <w:b/>
          <w:bCs/>
          <w:i/>
          <w:iCs/>
          <w:sz w:val="18"/>
          <w:szCs w:val="18"/>
          <w:u w:val="single"/>
        </w:rPr>
        <w:t>6</w:t>
      </w:r>
      <w:r w:rsidRPr="004601D7">
        <w:rPr>
          <w:rFonts w:cs="Times New Roman"/>
          <w:b/>
          <w:bCs/>
          <w:i/>
          <w:iCs/>
          <w:sz w:val="18"/>
          <w:szCs w:val="18"/>
          <w:u w:val="single"/>
        </w:rPr>
        <w:t xml:space="preserve"> of the Arabic section, pages</w:t>
      </w:r>
      <w:r w:rsidR="004445CA" w:rsidRPr="004601D7">
        <w:rPr>
          <w:rFonts w:cs="Times New Roman"/>
          <w:b/>
          <w:bCs/>
          <w:i/>
          <w:iCs/>
          <w:sz w:val="18"/>
          <w:szCs w:val="18"/>
          <w:u w:val="single"/>
        </w:rPr>
        <w:t xml:space="preserve"> </w:t>
      </w:r>
      <w:r w:rsidRPr="004601D7">
        <w:rPr>
          <w:rFonts w:cs="Times New Roman"/>
          <w:b/>
          <w:bCs/>
          <w:i/>
          <w:iCs/>
          <w:sz w:val="18"/>
          <w:szCs w:val="18"/>
          <w:u w:val="single"/>
          <w:rtl/>
        </w:rPr>
        <w:t xml:space="preserve"> </w:t>
      </w:r>
      <w:r w:rsidR="0015308F" w:rsidRPr="004601D7">
        <w:rPr>
          <w:rFonts w:cs="Times New Roman"/>
          <w:b/>
          <w:bCs/>
          <w:i/>
          <w:iCs/>
          <w:sz w:val="18"/>
          <w:szCs w:val="18"/>
          <w:u w:val="single"/>
        </w:rPr>
        <w:t>7</w:t>
      </w:r>
      <w:r w:rsidR="00FA4362" w:rsidRPr="004601D7">
        <w:rPr>
          <w:rFonts w:cs="Times New Roman"/>
          <w:b/>
          <w:bCs/>
          <w:i/>
          <w:iCs/>
          <w:sz w:val="18"/>
          <w:szCs w:val="18"/>
          <w:u w:val="single"/>
        </w:rPr>
        <w:t>1</w:t>
      </w:r>
      <w:r w:rsidRPr="004601D7">
        <w:rPr>
          <w:rFonts w:cs="Times New Roman"/>
          <w:b/>
          <w:bCs/>
          <w:i/>
          <w:iCs/>
          <w:sz w:val="18"/>
          <w:szCs w:val="18"/>
          <w:u w:val="single"/>
        </w:rPr>
        <w:t>-</w:t>
      </w:r>
      <w:r w:rsidR="0015308F" w:rsidRPr="004601D7">
        <w:rPr>
          <w:rFonts w:cs="Times New Roman"/>
          <w:b/>
          <w:bCs/>
          <w:i/>
          <w:iCs/>
          <w:sz w:val="18"/>
          <w:szCs w:val="18"/>
          <w:u w:val="single"/>
        </w:rPr>
        <w:t>8</w:t>
      </w:r>
      <w:r w:rsidR="00FA4362" w:rsidRPr="004601D7">
        <w:rPr>
          <w:rFonts w:cs="Times New Roman"/>
          <w:b/>
          <w:bCs/>
          <w:i/>
          <w:iCs/>
          <w:sz w:val="18"/>
          <w:szCs w:val="18"/>
          <w:u w:val="single"/>
        </w:rPr>
        <w:t>4</w:t>
      </w:r>
      <w:r w:rsidRPr="004601D7">
        <w:rPr>
          <w:rFonts w:cs="Times New Roman"/>
          <w:b/>
          <w:bCs/>
          <w:i/>
          <w:iCs/>
          <w:sz w:val="18"/>
          <w:szCs w:val="18"/>
          <w:u w:val="single"/>
        </w:rPr>
        <w:t>.</w:t>
      </w:r>
    </w:p>
    <w:p w:rsidR="00240C22" w:rsidRPr="004601D7" w:rsidRDefault="00240C22" w:rsidP="00240C22">
      <w:pPr>
        <w:pStyle w:val="ListParagraph"/>
        <w:bidi w:val="0"/>
        <w:ind w:left="0"/>
        <w:jc w:val="lowKashida"/>
        <w:rPr>
          <w:rFonts w:cs="Times New Roman"/>
          <w:b/>
          <w:bCs/>
          <w:i/>
          <w:iCs/>
          <w:sz w:val="18"/>
          <w:szCs w:val="18"/>
          <w:u w:val="single"/>
        </w:rPr>
      </w:pPr>
    </w:p>
    <w:p w:rsidR="00D27191" w:rsidRPr="004601D7" w:rsidRDefault="00D27191" w:rsidP="00332048">
      <w:pPr>
        <w:pStyle w:val="Title"/>
        <w:numPr>
          <w:ilvl w:val="0"/>
          <w:numId w:val="19"/>
        </w:numPr>
        <w:bidi w:val="0"/>
        <w:ind w:left="252" w:hanging="252"/>
        <w:jc w:val="left"/>
        <w:rPr>
          <w:rFonts w:cs="Traditional Arabic"/>
          <w:sz w:val="20"/>
          <w:szCs w:val="20"/>
        </w:rPr>
      </w:pPr>
      <w:r w:rsidRPr="004601D7">
        <w:rPr>
          <w:rFonts w:cs="Traditional Arabic"/>
          <w:sz w:val="20"/>
          <w:szCs w:val="20"/>
        </w:rPr>
        <w:t>Living Standards</w:t>
      </w:r>
    </w:p>
    <w:p w:rsidR="00D76514" w:rsidRPr="004601D7" w:rsidRDefault="00D76514" w:rsidP="00454517">
      <w:pPr>
        <w:pStyle w:val="BodyText2"/>
        <w:numPr>
          <w:ilvl w:val="0"/>
          <w:numId w:val="2"/>
        </w:numPr>
        <w:overflowPunct/>
        <w:autoSpaceDE/>
        <w:autoSpaceDN/>
        <w:adjustRightInd/>
        <w:ind w:left="266" w:hanging="266"/>
        <w:textAlignment w:val="auto"/>
        <w:rPr>
          <w:noProof/>
          <w:sz w:val="19"/>
          <w:szCs w:val="19"/>
        </w:rPr>
      </w:pPr>
      <w:r w:rsidRPr="004601D7">
        <w:rPr>
          <w:noProof/>
          <w:sz w:val="19"/>
          <w:szCs w:val="19"/>
        </w:rPr>
        <w:t>Using the monetary poverty concept, about one out of three individuals (29.</w:t>
      </w:r>
      <w:r w:rsidR="00DF6778" w:rsidRPr="004601D7">
        <w:rPr>
          <w:noProof/>
          <w:sz w:val="19"/>
          <w:szCs w:val="19"/>
        </w:rPr>
        <w:t>2</w:t>
      </w:r>
      <w:r w:rsidR="00526331" w:rsidRPr="004601D7">
        <w:rPr>
          <w:noProof/>
          <w:sz w:val="19"/>
          <w:szCs w:val="19"/>
        </w:rPr>
        <w:t>%</w:t>
      </w:r>
      <w:r w:rsidRPr="004601D7">
        <w:rPr>
          <w:noProof/>
          <w:sz w:val="19"/>
          <w:szCs w:val="19"/>
        </w:rPr>
        <w:t>) were living below the poverty level in 2017. The poverty rate for Gaza Strip (53</w:t>
      </w:r>
      <w:r w:rsidR="00526331" w:rsidRPr="004601D7">
        <w:rPr>
          <w:noProof/>
          <w:sz w:val="19"/>
          <w:szCs w:val="19"/>
        </w:rPr>
        <w:t>.0%</w:t>
      </w:r>
      <w:r w:rsidRPr="004601D7">
        <w:rPr>
          <w:noProof/>
          <w:sz w:val="19"/>
          <w:szCs w:val="19"/>
        </w:rPr>
        <w:t>) was more than four times higher than of the West Bank rate of 13.9</w:t>
      </w:r>
      <w:r w:rsidR="00526331" w:rsidRPr="004601D7">
        <w:rPr>
          <w:noProof/>
          <w:sz w:val="19"/>
          <w:szCs w:val="19"/>
        </w:rPr>
        <w:t>%</w:t>
      </w:r>
      <w:r w:rsidRPr="004601D7">
        <w:rPr>
          <w:noProof/>
          <w:sz w:val="19"/>
          <w:szCs w:val="19"/>
        </w:rPr>
        <w:t>. More significant is the fact that (33.7</w:t>
      </w:r>
      <w:r w:rsidR="00526331" w:rsidRPr="004601D7">
        <w:rPr>
          <w:noProof/>
          <w:sz w:val="19"/>
          <w:szCs w:val="19"/>
        </w:rPr>
        <w:t>%</w:t>
      </w:r>
      <w:r w:rsidRPr="004601D7">
        <w:rPr>
          <w:noProof/>
          <w:sz w:val="19"/>
          <w:szCs w:val="19"/>
        </w:rPr>
        <w:t>) in Gaza Strip were suffering from deep poverty compared with 5.8 percent of the West Bank; (which means that they are unable to meet the minimum required food, clothing and housing). This indicates that the poor Individuals in Gaza Strip were poorer than those of the West Bank.</w:t>
      </w:r>
    </w:p>
    <w:p w:rsidR="00D76514" w:rsidRPr="004601D7" w:rsidRDefault="00D76514" w:rsidP="00845080">
      <w:pPr>
        <w:pStyle w:val="BodyText2"/>
        <w:numPr>
          <w:ilvl w:val="0"/>
          <w:numId w:val="2"/>
        </w:numPr>
        <w:overflowPunct/>
        <w:autoSpaceDE/>
        <w:autoSpaceDN/>
        <w:adjustRightInd/>
        <w:ind w:left="266" w:hanging="266"/>
        <w:textAlignment w:val="auto"/>
        <w:rPr>
          <w:noProof/>
          <w:sz w:val="19"/>
          <w:szCs w:val="19"/>
        </w:rPr>
      </w:pPr>
      <w:r w:rsidRPr="004601D7">
        <w:rPr>
          <w:noProof/>
          <w:sz w:val="19"/>
          <w:szCs w:val="19"/>
        </w:rPr>
        <w:t xml:space="preserve">Overall </w:t>
      </w:r>
      <w:r w:rsidR="007F0A14" w:rsidRPr="007F0A14">
        <w:rPr>
          <w:noProof/>
          <w:sz w:val="19"/>
          <w:szCs w:val="19"/>
        </w:rPr>
        <w:t>multi-dimensional poverty</w:t>
      </w:r>
      <w:r w:rsidR="007F0A14">
        <w:rPr>
          <w:noProof/>
          <w:sz w:val="19"/>
          <w:szCs w:val="19"/>
        </w:rPr>
        <w:t xml:space="preserve"> </w:t>
      </w:r>
      <w:r w:rsidR="00845080">
        <w:rPr>
          <w:noProof/>
          <w:sz w:val="19"/>
          <w:szCs w:val="19"/>
        </w:rPr>
        <w:t>index</w:t>
      </w:r>
      <w:r w:rsidR="007F0A14" w:rsidRPr="007F0A14">
        <w:rPr>
          <w:noProof/>
          <w:sz w:val="19"/>
          <w:szCs w:val="19"/>
        </w:rPr>
        <w:t xml:space="preserve"> </w:t>
      </w:r>
      <w:r w:rsidR="007F0A14" w:rsidRPr="004601D7">
        <w:rPr>
          <w:noProof/>
          <w:sz w:val="19"/>
          <w:szCs w:val="19"/>
        </w:rPr>
        <w:t xml:space="preserve">(MPI) </w:t>
      </w:r>
      <w:r w:rsidRPr="004601D7">
        <w:rPr>
          <w:noProof/>
          <w:sz w:val="19"/>
          <w:szCs w:val="19"/>
        </w:rPr>
        <w:t>incidence in 2016/2017 was 24</w:t>
      </w:r>
      <w:r w:rsidR="00526331" w:rsidRPr="004601D7">
        <w:rPr>
          <w:noProof/>
          <w:sz w:val="19"/>
          <w:szCs w:val="19"/>
        </w:rPr>
        <w:t>.0</w:t>
      </w:r>
      <w:r w:rsidRPr="004601D7">
        <w:rPr>
          <w:noProof/>
          <w:sz w:val="19"/>
          <w:szCs w:val="19"/>
        </w:rPr>
        <w:t>%. These figures are close but slightly lower than the monetary poverty line (29</w:t>
      </w:r>
      <w:r w:rsidR="00526331" w:rsidRPr="004601D7">
        <w:rPr>
          <w:noProof/>
          <w:sz w:val="19"/>
          <w:szCs w:val="19"/>
        </w:rPr>
        <w:t>.2</w:t>
      </w:r>
      <w:r w:rsidRPr="004601D7">
        <w:rPr>
          <w:noProof/>
          <w:sz w:val="19"/>
          <w:szCs w:val="19"/>
        </w:rPr>
        <w:t>%).</w:t>
      </w:r>
    </w:p>
    <w:p w:rsidR="00D76514" w:rsidRPr="004601D7" w:rsidRDefault="00D76514" w:rsidP="00845080">
      <w:pPr>
        <w:pStyle w:val="BodyText2"/>
        <w:numPr>
          <w:ilvl w:val="0"/>
          <w:numId w:val="2"/>
        </w:numPr>
        <w:overflowPunct/>
        <w:autoSpaceDE/>
        <w:autoSpaceDN/>
        <w:adjustRightInd/>
        <w:ind w:left="266" w:hanging="266"/>
        <w:textAlignment w:val="auto"/>
        <w:rPr>
          <w:noProof/>
          <w:sz w:val="19"/>
          <w:szCs w:val="19"/>
        </w:rPr>
      </w:pPr>
      <w:r w:rsidRPr="004601D7">
        <w:rPr>
          <w:noProof/>
          <w:sz w:val="19"/>
          <w:szCs w:val="19"/>
        </w:rPr>
        <w:t xml:space="preserve">The poverty is more severe in refugee camps than urban and rural </w:t>
      </w:r>
      <w:r w:rsidR="00526331" w:rsidRPr="004601D7">
        <w:rPr>
          <w:noProof/>
          <w:sz w:val="19"/>
          <w:szCs w:val="19"/>
        </w:rPr>
        <w:t>areas</w:t>
      </w:r>
      <w:r w:rsidRPr="004601D7">
        <w:rPr>
          <w:noProof/>
          <w:sz w:val="19"/>
          <w:szCs w:val="19"/>
        </w:rPr>
        <w:t xml:space="preserve">.  </w:t>
      </w:r>
      <w:r w:rsidR="007F0A14">
        <w:rPr>
          <w:noProof/>
          <w:sz w:val="19"/>
          <w:szCs w:val="19"/>
        </w:rPr>
        <w:t>MPI</w:t>
      </w:r>
      <w:r w:rsidR="007F0A14" w:rsidRPr="004601D7">
        <w:rPr>
          <w:noProof/>
          <w:sz w:val="19"/>
          <w:szCs w:val="19"/>
        </w:rPr>
        <w:t xml:space="preserve"> </w:t>
      </w:r>
      <w:r w:rsidR="00845080">
        <w:rPr>
          <w:noProof/>
          <w:sz w:val="19"/>
          <w:szCs w:val="19"/>
        </w:rPr>
        <w:t>i</w:t>
      </w:r>
      <w:r w:rsidRPr="004601D7">
        <w:rPr>
          <w:noProof/>
          <w:sz w:val="19"/>
          <w:szCs w:val="19"/>
        </w:rPr>
        <w:t xml:space="preserve">ncidence is </w:t>
      </w:r>
      <w:r w:rsidR="00526331" w:rsidRPr="004601D7">
        <w:rPr>
          <w:noProof/>
          <w:sz w:val="19"/>
          <w:szCs w:val="19"/>
        </w:rPr>
        <w:t>38.1</w:t>
      </w:r>
      <w:r w:rsidRPr="004601D7">
        <w:rPr>
          <w:noProof/>
          <w:sz w:val="19"/>
          <w:szCs w:val="19"/>
        </w:rPr>
        <w:t>% in refugee cam</w:t>
      </w:r>
      <w:bookmarkStart w:id="0" w:name="_GoBack"/>
      <w:bookmarkEnd w:id="0"/>
      <w:r w:rsidRPr="004601D7">
        <w:rPr>
          <w:noProof/>
          <w:sz w:val="19"/>
          <w:szCs w:val="19"/>
        </w:rPr>
        <w:t xml:space="preserve">ps as compared to </w:t>
      </w:r>
      <w:r w:rsidR="00526331" w:rsidRPr="004601D7">
        <w:rPr>
          <w:noProof/>
          <w:sz w:val="19"/>
          <w:szCs w:val="19"/>
        </w:rPr>
        <w:t>13.9</w:t>
      </w:r>
      <w:r w:rsidRPr="004601D7">
        <w:rPr>
          <w:noProof/>
          <w:sz w:val="19"/>
          <w:szCs w:val="19"/>
        </w:rPr>
        <w:t xml:space="preserve">% in rural areas and </w:t>
      </w:r>
      <w:r w:rsidR="00526331" w:rsidRPr="004601D7">
        <w:rPr>
          <w:noProof/>
          <w:sz w:val="19"/>
          <w:szCs w:val="19"/>
        </w:rPr>
        <w:t>24.4</w:t>
      </w:r>
      <w:r w:rsidRPr="004601D7">
        <w:rPr>
          <w:noProof/>
          <w:sz w:val="19"/>
          <w:szCs w:val="19"/>
        </w:rPr>
        <w:t xml:space="preserve">% in urban </w:t>
      </w:r>
      <w:r w:rsidR="00526331" w:rsidRPr="004601D7">
        <w:rPr>
          <w:noProof/>
          <w:sz w:val="19"/>
          <w:szCs w:val="19"/>
        </w:rPr>
        <w:t>areas</w:t>
      </w:r>
      <w:r w:rsidRPr="004601D7">
        <w:rPr>
          <w:noProof/>
          <w:sz w:val="19"/>
          <w:szCs w:val="19"/>
        </w:rPr>
        <w:t xml:space="preserve">.  This is largely a reflection of high poverty incidence in Gaza Strip, as </w:t>
      </w:r>
      <w:r w:rsidR="007F0A14" w:rsidRPr="004601D7">
        <w:rPr>
          <w:noProof/>
          <w:sz w:val="19"/>
          <w:szCs w:val="19"/>
        </w:rPr>
        <w:t xml:space="preserve">Gaza </w:t>
      </w:r>
      <w:r w:rsidRPr="004601D7">
        <w:rPr>
          <w:noProof/>
          <w:sz w:val="19"/>
          <w:szCs w:val="19"/>
        </w:rPr>
        <w:t xml:space="preserve">Strip is mainly urban and </w:t>
      </w:r>
      <w:r w:rsidR="00DF6778" w:rsidRPr="004601D7">
        <w:rPr>
          <w:noProof/>
          <w:sz w:val="19"/>
          <w:szCs w:val="19"/>
        </w:rPr>
        <w:t>camps</w:t>
      </w:r>
      <w:r w:rsidR="00845080">
        <w:rPr>
          <w:noProof/>
          <w:sz w:val="19"/>
          <w:szCs w:val="19"/>
        </w:rPr>
        <w:t>, where</w:t>
      </w:r>
      <w:r w:rsidR="00454517">
        <w:rPr>
          <w:noProof/>
          <w:sz w:val="19"/>
          <w:szCs w:val="19"/>
        </w:rPr>
        <w:t xml:space="preserve"> </w:t>
      </w:r>
      <w:r w:rsidRPr="004601D7">
        <w:rPr>
          <w:noProof/>
          <w:sz w:val="19"/>
          <w:szCs w:val="19"/>
        </w:rPr>
        <w:t xml:space="preserve">the majority of refugees in Camps. </w:t>
      </w:r>
    </w:p>
    <w:p w:rsidR="00D76514" w:rsidRPr="004601D7" w:rsidRDefault="00D76514" w:rsidP="007F0A14">
      <w:pPr>
        <w:pStyle w:val="BodyText2"/>
        <w:numPr>
          <w:ilvl w:val="0"/>
          <w:numId w:val="2"/>
        </w:numPr>
        <w:overflowPunct/>
        <w:autoSpaceDE/>
        <w:autoSpaceDN/>
        <w:adjustRightInd/>
        <w:ind w:left="266" w:hanging="266"/>
        <w:textAlignment w:val="auto"/>
        <w:rPr>
          <w:noProof/>
          <w:sz w:val="19"/>
          <w:szCs w:val="19"/>
        </w:rPr>
      </w:pPr>
      <w:r w:rsidRPr="004601D7">
        <w:rPr>
          <w:noProof/>
          <w:sz w:val="19"/>
          <w:szCs w:val="19"/>
        </w:rPr>
        <w:t xml:space="preserve">The adjusted head count ratio </w:t>
      </w:r>
      <w:r w:rsidR="007F0A14">
        <w:rPr>
          <w:noProof/>
          <w:sz w:val="19"/>
          <w:szCs w:val="19"/>
        </w:rPr>
        <w:t>MPI</w:t>
      </w:r>
      <w:r w:rsidRPr="004601D7">
        <w:rPr>
          <w:noProof/>
          <w:sz w:val="19"/>
          <w:szCs w:val="19"/>
        </w:rPr>
        <w:t xml:space="preserve"> shows a similar distribution ranging from </w:t>
      </w:r>
      <w:r w:rsidR="00526331" w:rsidRPr="004601D7">
        <w:rPr>
          <w:noProof/>
          <w:sz w:val="19"/>
          <w:szCs w:val="19"/>
        </w:rPr>
        <w:t>16.6%</w:t>
      </w:r>
      <w:r w:rsidRPr="004601D7">
        <w:rPr>
          <w:noProof/>
          <w:sz w:val="19"/>
          <w:szCs w:val="19"/>
        </w:rPr>
        <w:t xml:space="preserve"> in camps as compared to </w:t>
      </w:r>
      <w:r w:rsidR="00526331" w:rsidRPr="004601D7">
        <w:rPr>
          <w:noProof/>
          <w:sz w:val="19"/>
          <w:szCs w:val="19"/>
        </w:rPr>
        <w:t>5.6%</w:t>
      </w:r>
      <w:r w:rsidRPr="004601D7">
        <w:rPr>
          <w:noProof/>
          <w:sz w:val="19"/>
          <w:szCs w:val="19"/>
        </w:rPr>
        <w:t xml:space="preserve"> in </w:t>
      </w:r>
      <w:r w:rsidR="00526331" w:rsidRPr="004601D7">
        <w:rPr>
          <w:noProof/>
          <w:sz w:val="19"/>
          <w:szCs w:val="19"/>
        </w:rPr>
        <w:t>rural</w:t>
      </w:r>
      <w:r w:rsidRPr="004601D7">
        <w:rPr>
          <w:noProof/>
          <w:sz w:val="19"/>
          <w:szCs w:val="19"/>
        </w:rPr>
        <w:t xml:space="preserve"> areas.  Similarly, the incidence of poverty among refugees is much higher at </w:t>
      </w:r>
      <w:r w:rsidR="00526331" w:rsidRPr="004601D7">
        <w:rPr>
          <w:noProof/>
          <w:sz w:val="19"/>
          <w:szCs w:val="19"/>
        </w:rPr>
        <w:t>13.0</w:t>
      </w:r>
      <w:r w:rsidRPr="004601D7">
        <w:rPr>
          <w:noProof/>
          <w:sz w:val="19"/>
          <w:szCs w:val="19"/>
        </w:rPr>
        <w:t>% than non-refugees (</w:t>
      </w:r>
      <w:r w:rsidR="00526331" w:rsidRPr="004601D7">
        <w:rPr>
          <w:noProof/>
          <w:sz w:val="19"/>
          <w:szCs w:val="19"/>
        </w:rPr>
        <w:t>8.1</w:t>
      </w:r>
      <w:r w:rsidRPr="004601D7">
        <w:rPr>
          <w:noProof/>
          <w:sz w:val="19"/>
          <w:szCs w:val="19"/>
        </w:rPr>
        <w:t>%).</w:t>
      </w:r>
    </w:p>
    <w:p w:rsidR="00D76514" w:rsidRPr="004601D7" w:rsidRDefault="007F0A14" w:rsidP="00526331">
      <w:pPr>
        <w:pStyle w:val="BodyText2"/>
        <w:numPr>
          <w:ilvl w:val="0"/>
          <w:numId w:val="2"/>
        </w:numPr>
        <w:overflowPunct/>
        <w:autoSpaceDE/>
        <w:autoSpaceDN/>
        <w:adjustRightInd/>
        <w:ind w:left="266" w:hanging="266"/>
        <w:textAlignment w:val="auto"/>
        <w:rPr>
          <w:noProof/>
          <w:sz w:val="19"/>
          <w:szCs w:val="19"/>
        </w:rPr>
      </w:pPr>
      <w:r>
        <w:rPr>
          <w:noProof/>
          <w:sz w:val="19"/>
          <w:szCs w:val="19"/>
        </w:rPr>
        <w:t>MPI</w:t>
      </w:r>
      <w:r w:rsidRPr="004601D7">
        <w:rPr>
          <w:noProof/>
          <w:sz w:val="19"/>
          <w:szCs w:val="19"/>
        </w:rPr>
        <w:t xml:space="preserve"> </w:t>
      </w:r>
      <w:r w:rsidR="00D76514" w:rsidRPr="004601D7">
        <w:rPr>
          <w:noProof/>
          <w:sz w:val="19"/>
          <w:szCs w:val="19"/>
        </w:rPr>
        <w:t xml:space="preserve">increases consistently by household size.  The incidence of poverty in small households with 1 to 3 members is </w:t>
      </w:r>
      <w:r w:rsidR="00526331" w:rsidRPr="004601D7">
        <w:rPr>
          <w:noProof/>
          <w:sz w:val="19"/>
          <w:szCs w:val="19"/>
        </w:rPr>
        <w:t>6.2</w:t>
      </w:r>
      <w:r w:rsidR="00D76514" w:rsidRPr="004601D7">
        <w:rPr>
          <w:noProof/>
          <w:sz w:val="19"/>
          <w:szCs w:val="19"/>
        </w:rPr>
        <w:t xml:space="preserve">% as compared to </w:t>
      </w:r>
      <w:r w:rsidR="00526331" w:rsidRPr="004601D7">
        <w:rPr>
          <w:noProof/>
          <w:sz w:val="19"/>
          <w:szCs w:val="19"/>
        </w:rPr>
        <w:t>35.4</w:t>
      </w:r>
      <w:r w:rsidR="00D76514" w:rsidRPr="004601D7">
        <w:rPr>
          <w:noProof/>
          <w:sz w:val="19"/>
          <w:szCs w:val="19"/>
        </w:rPr>
        <w:t>% in large households with 7 or more members.</w:t>
      </w:r>
    </w:p>
    <w:p w:rsidR="00381FD6" w:rsidRPr="004601D7" w:rsidRDefault="00381FD6" w:rsidP="00381FD6">
      <w:pPr>
        <w:pStyle w:val="Title"/>
        <w:bidi w:val="0"/>
        <w:ind w:left="-210"/>
        <w:jc w:val="left"/>
        <w:rPr>
          <w:rFonts w:cs="Traditional Arabic"/>
          <w:sz w:val="20"/>
          <w:szCs w:val="20"/>
        </w:rPr>
      </w:pPr>
    </w:p>
    <w:p w:rsidR="00084AEE" w:rsidRPr="004601D7" w:rsidRDefault="00084AEE" w:rsidP="00FA4362">
      <w:pPr>
        <w:pStyle w:val="ListParagraph"/>
        <w:bidi w:val="0"/>
        <w:ind w:left="0" w:right="-142"/>
        <w:jc w:val="lowKashida"/>
        <w:rPr>
          <w:rFonts w:cs="Times New Roman"/>
          <w:b/>
          <w:bCs/>
          <w:i/>
          <w:iCs/>
          <w:sz w:val="18"/>
          <w:szCs w:val="18"/>
          <w:u w:val="single"/>
        </w:rPr>
      </w:pPr>
      <w:r w:rsidRPr="004601D7">
        <w:rPr>
          <w:rFonts w:cs="Times New Roman"/>
          <w:b/>
          <w:bCs/>
          <w:i/>
          <w:iCs/>
          <w:sz w:val="18"/>
          <w:szCs w:val="18"/>
          <w:u w:val="single"/>
        </w:rPr>
        <w:t xml:space="preserve">For more details </w:t>
      </w:r>
      <w:r w:rsidR="00FA6A6A" w:rsidRPr="004601D7">
        <w:rPr>
          <w:rFonts w:cs="Times New Roman"/>
          <w:b/>
          <w:bCs/>
          <w:i/>
          <w:iCs/>
          <w:sz w:val="18"/>
          <w:szCs w:val="18"/>
          <w:u w:val="single"/>
        </w:rPr>
        <w:t xml:space="preserve">on </w:t>
      </w:r>
      <w:r w:rsidR="00B51C6A" w:rsidRPr="004601D7">
        <w:rPr>
          <w:rFonts w:cs="Times New Roman"/>
          <w:b/>
          <w:bCs/>
          <w:i/>
          <w:iCs/>
          <w:sz w:val="18"/>
          <w:szCs w:val="18"/>
          <w:u w:val="single"/>
        </w:rPr>
        <w:t>l</w:t>
      </w:r>
      <w:r w:rsidRPr="004601D7">
        <w:rPr>
          <w:rFonts w:cs="Times New Roman"/>
          <w:b/>
          <w:bCs/>
          <w:i/>
          <w:iCs/>
          <w:sz w:val="18"/>
          <w:szCs w:val="18"/>
          <w:u w:val="single"/>
        </w:rPr>
        <w:t xml:space="preserve">iving </w:t>
      </w:r>
      <w:r w:rsidR="00B51C6A" w:rsidRPr="004601D7">
        <w:rPr>
          <w:rFonts w:cs="Times New Roman"/>
          <w:b/>
          <w:bCs/>
          <w:i/>
          <w:iCs/>
          <w:sz w:val="18"/>
          <w:szCs w:val="18"/>
          <w:u w:val="single"/>
        </w:rPr>
        <w:t>s</w:t>
      </w:r>
      <w:r w:rsidRPr="004601D7">
        <w:rPr>
          <w:rFonts w:cs="Times New Roman"/>
          <w:b/>
          <w:bCs/>
          <w:i/>
          <w:iCs/>
          <w:sz w:val="18"/>
          <w:szCs w:val="18"/>
          <w:u w:val="single"/>
        </w:rPr>
        <w:t xml:space="preserve">tandards, see the tables in chapter 1.7 of the Arabic section, pages </w:t>
      </w:r>
      <w:r w:rsidR="0015308F" w:rsidRPr="004601D7">
        <w:rPr>
          <w:rFonts w:cs="Times New Roman"/>
          <w:b/>
          <w:bCs/>
          <w:i/>
          <w:iCs/>
          <w:sz w:val="18"/>
          <w:szCs w:val="18"/>
          <w:u w:val="single"/>
        </w:rPr>
        <w:t>8</w:t>
      </w:r>
      <w:r w:rsidR="00FA4362" w:rsidRPr="004601D7">
        <w:rPr>
          <w:rFonts w:cs="Times New Roman"/>
          <w:b/>
          <w:bCs/>
          <w:i/>
          <w:iCs/>
          <w:sz w:val="18"/>
          <w:szCs w:val="18"/>
          <w:u w:val="single"/>
        </w:rPr>
        <w:t>5</w:t>
      </w:r>
      <w:r w:rsidRPr="004601D7">
        <w:rPr>
          <w:rFonts w:cs="Times New Roman"/>
          <w:b/>
          <w:bCs/>
          <w:i/>
          <w:iCs/>
          <w:sz w:val="18"/>
          <w:szCs w:val="18"/>
          <w:u w:val="single"/>
        </w:rPr>
        <w:t>-</w:t>
      </w:r>
      <w:r w:rsidR="0015308F" w:rsidRPr="004601D7">
        <w:rPr>
          <w:rFonts w:cs="Times New Roman"/>
          <w:b/>
          <w:bCs/>
          <w:i/>
          <w:iCs/>
          <w:sz w:val="18"/>
          <w:szCs w:val="18"/>
          <w:u w:val="single"/>
        </w:rPr>
        <w:t>9</w:t>
      </w:r>
      <w:r w:rsidR="00FA4362" w:rsidRPr="004601D7">
        <w:rPr>
          <w:rFonts w:cs="Times New Roman"/>
          <w:b/>
          <w:bCs/>
          <w:i/>
          <w:iCs/>
          <w:sz w:val="18"/>
          <w:szCs w:val="18"/>
          <w:u w:val="single"/>
        </w:rPr>
        <w:t>0</w:t>
      </w:r>
      <w:r w:rsidRPr="004601D7">
        <w:rPr>
          <w:rFonts w:cs="Times New Roman"/>
          <w:b/>
          <w:bCs/>
          <w:i/>
          <w:iCs/>
          <w:sz w:val="18"/>
          <w:szCs w:val="18"/>
          <w:u w:val="single"/>
        </w:rPr>
        <w:t>.</w:t>
      </w:r>
    </w:p>
    <w:p w:rsidR="00084AEE" w:rsidRPr="004601D7" w:rsidRDefault="00084AEE" w:rsidP="00084AEE">
      <w:pPr>
        <w:pStyle w:val="Title"/>
        <w:bidi w:val="0"/>
        <w:ind w:left="-210"/>
        <w:jc w:val="left"/>
        <w:rPr>
          <w:rFonts w:cs="Traditional Arabic"/>
          <w:sz w:val="20"/>
          <w:szCs w:val="20"/>
        </w:rPr>
      </w:pPr>
    </w:p>
    <w:p w:rsidR="00D27191" w:rsidRPr="004601D7" w:rsidRDefault="00D27191" w:rsidP="00332048">
      <w:pPr>
        <w:pStyle w:val="Title"/>
        <w:numPr>
          <w:ilvl w:val="0"/>
          <w:numId w:val="19"/>
        </w:numPr>
        <w:bidi w:val="0"/>
        <w:ind w:left="252" w:hanging="252"/>
        <w:jc w:val="left"/>
        <w:rPr>
          <w:rFonts w:cs="Traditional Arabic"/>
          <w:sz w:val="20"/>
          <w:szCs w:val="20"/>
        </w:rPr>
      </w:pPr>
      <w:r w:rsidRPr="004601D7">
        <w:rPr>
          <w:rFonts w:cs="Traditional Arabic"/>
          <w:sz w:val="20"/>
          <w:szCs w:val="20"/>
        </w:rPr>
        <w:t xml:space="preserve">Education </w:t>
      </w:r>
    </w:p>
    <w:p w:rsidR="00F753AE" w:rsidRPr="004601D7" w:rsidRDefault="00F753AE" w:rsidP="00240C22">
      <w:pPr>
        <w:pStyle w:val="BodyText2"/>
        <w:numPr>
          <w:ilvl w:val="0"/>
          <w:numId w:val="20"/>
        </w:numPr>
        <w:overflowPunct/>
        <w:autoSpaceDE/>
        <w:adjustRightInd/>
        <w:ind w:left="266" w:hanging="266"/>
        <w:textAlignment w:val="auto"/>
        <w:rPr>
          <w:noProof/>
        </w:rPr>
      </w:pPr>
      <w:r w:rsidRPr="004601D7">
        <w:rPr>
          <w:noProof/>
        </w:rPr>
        <w:t xml:space="preserve">The total number of schools in Palestine in 2019/2020 was 3,074 comprising 2,323 </w:t>
      </w:r>
      <w:r w:rsidR="00C41B5B" w:rsidRPr="004601D7">
        <w:rPr>
          <w:noProof/>
        </w:rPr>
        <w:t xml:space="preserve">schools </w:t>
      </w:r>
      <w:r w:rsidRPr="004601D7">
        <w:rPr>
          <w:noProof/>
        </w:rPr>
        <w:t xml:space="preserve">in the West Bank and 751 </w:t>
      </w:r>
      <w:r w:rsidR="00C41B5B" w:rsidRPr="004601D7">
        <w:rPr>
          <w:noProof/>
        </w:rPr>
        <w:t xml:space="preserve">schools </w:t>
      </w:r>
      <w:r w:rsidRPr="004601D7">
        <w:rPr>
          <w:noProof/>
        </w:rPr>
        <w:t xml:space="preserve">in Gaza Strip. </w:t>
      </w:r>
    </w:p>
    <w:p w:rsidR="00F753AE" w:rsidRPr="004601D7" w:rsidRDefault="00F753AE" w:rsidP="00C41B5B">
      <w:pPr>
        <w:pStyle w:val="BodyText2"/>
        <w:numPr>
          <w:ilvl w:val="0"/>
          <w:numId w:val="20"/>
        </w:numPr>
        <w:overflowPunct/>
        <w:autoSpaceDE/>
        <w:adjustRightInd/>
        <w:ind w:left="266" w:hanging="266"/>
        <w:textAlignment w:val="auto"/>
        <w:rPr>
          <w:noProof/>
        </w:rPr>
      </w:pPr>
      <w:r w:rsidRPr="004601D7">
        <w:rPr>
          <w:noProof/>
        </w:rPr>
        <w:t>The  total  number of students was 1,309,165</w:t>
      </w:r>
      <w:r w:rsidR="00C41B5B" w:rsidRPr="004601D7">
        <w:rPr>
          <w:noProof/>
        </w:rPr>
        <w:t xml:space="preserve"> students</w:t>
      </w:r>
      <w:r w:rsidRPr="004601D7">
        <w:rPr>
          <w:noProof/>
        </w:rPr>
        <w:t xml:space="preserve">: 1,061,639 </w:t>
      </w:r>
      <w:r w:rsidR="00C41B5B" w:rsidRPr="004601D7">
        <w:rPr>
          <w:noProof/>
        </w:rPr>
        <w:t xml:space="preserve">students </w:t>
      </w:r>
      <w:r w:rsidRPr="004601D7">
        <w:rPr>
          <w:noProof/>
        </w:rPr>
        <w:t xml:space="preserve">at basic stage and </w:t>
      </w:r>
      <w:r w:rsidRPr="004601D7">
        <w:rPr>
          <w:rFonts w:hint="cs"/>
          <w:noProof/>
          <w:rtl/>
        </w:rPr>
        <w:t>2</w:t>
      </w:r>
      <w:r w:rsidRPr="004601D7">
        <w:rPr>
          <w:noProof/>
        </w:rPr>
        <w:t xml:space="preserve">47,526 </w:t>
      </w:r>
      <w:r w:rsidR="00C41B5B" w:rsidRPr="004601D7">
        <w:rPr>
          <w:noProof/>
        </w:rPr>
        <w:t xml:space="preserve">students </w:t>
      </w:r>
      <w:r w:rsidRPr="004601D7">
        <w:rPr>
          <w:noProof/>
        </w:rPr>
        <w:t>at secondary stage.</w:t>
      </w:r>
    </w:p>
    <w:p w:rsidR="00F753AE" w:rsidRPr="004601D7" w:rsidRDefault="00B21BC2" w:rsidP="00240C22">
      <w:pPr>
        <w:pStyle w:val="BodyText2"/>
        <w:numPr>
          <w:ilvl w:val="0"/>
          <w:numId w:val="20"/>
        </w:numPr>
        <w:overflowPunct/>
        <w:autoSpaceDE/>
        <w:adjustRightInd/>
        <w:ind w:left="266" w:hanging="266"/>
        <w:textAlignment w:val="auto"/>
        <w:rPr>
          <w:noProof/>
        </w:rPr>
      </w:pPr>
      <w:r w:rsidRPr="004601D7">
        <w:rPr>
          <w:noProof/>
        </w:rPr>
        <w:lastRenderedPageBreak/>
        <w:drawing>
          <wp:anchor distT="0" distB="0" distL="114300" distR="114300" simplePos="0" relativeHeight="251661312" behindDoc="0" locked="0" layoutInCell="1" allowOverlap="1" wp14:anchorId="4A6F706C" wp14:editId="3038B015">
            <wp:simplePos x="0" y="0"/>
            <wp:positionH relativeFrom="column">
              <wp:posOffset>1671320</wp:posOffset>
            </wp:positionH>
            <wp:positionV relativeFrom="paragraph">
              <wp:posOffset>157480</wp:posOffset>
            </wp:positionV>
            <wp:extent cx="3009265" cy="3511550"/>
            <wp:effectExtent l="19050" t="19050" r="635" b="0"/>
            <wp:wrapSquare wrapText="bothSides"/>
            <wp:docPr id="12" name="Picture 12" descr="G:\كتاب فلسطين الاحصائي السنوي 2020 نهائي\كتاب فلسطين الاحصائي السنوي 2020-PHCD\خرائط\Cultural_2020_En.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G:\كتاب فلسطين الاحصائي السنوي 2020 نهائي\كتاب فلسطين الاحصائي السنوي 2020-PHCD\خرائط\Cultural_2020_En.png"/>
                    <pic:cNvPicPr>
                      <a:picLocks noChangeAspect="1" noChangeArrowheads="1"/>
                    </pic:cNvPicPr>
                  </pic:nvPicPr>
                  <pic:blipFill rotWithShape="1">
                    <a:blip r:embed="rId14">
                      <a:extLst>
                        <a:ext uri="{28A0092B-C50C-407E-A947-70E740481C1C}">
                          <a14:useLocalDpi xmlns:a14="http://schemas.microsoft.com/office/drawing/2010/main" val="0"/>
                        </a:ext>
                      </a:extLst>
                    </a:blip>
                    <a:srcRect l="8406" t="11864" r="6163" b="16583"/>
                    <a:stretch/>
                  </pic:blipFill>
                  <pic:spPr bwMode="auto">
                    <a:xfrm>
                      <a:off x="0" y="0"/>
                      <a:ext cx="3009265" cy="3511550"/>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87F72">
        <w:rPr>
          <w:noProof/>
        </w:rPr>
        <w:pict>
          <v:rect id="_x0000_s1034" style="position:absolute;left:0;text-align:left;margin-left:137.9pt;margin-top:18.4pt;width:230.65pt;height:23.7pt;z-index:251670528;mso-position-horizontal-relative:text;mso-position-vertical-relative:text" stroked="f">
            <v:textbox>
              <w:txbxContent>
                <w:p w:rsidR="00B21BC2" w:rsidRPr="00B21BC2" w:rsidRDefault="00B21BC2" w:rsidP="00B21BC2">
                  <w:pPr>
                    <w:jc w:val="center"/>
                    <w:rPr>
                      <w:sz w:val="16"/>
                      <w:szCs w:val="16"/>
                    </w:rPr>
                  </w:pPr>
                  <w:r w:rsidRPr="00B21BC2">
                    <w:rPr>
                      <w:rFonts w:ascii="Arial" w:hAnsi="Arial" w:cs="Arial"/>
                      <w:b/>
                      <w:bCs/>
                      <w:snapToGrid w:val="0"/>
                      <w:sz w:val="14"/>
                      <w:szCs w:val="14"/>
                    </w:rPr>
                    <w:t xml:space="preserve">Number of Cultural Institutions in Operation in Palestine by Governorate, </w:t>
                  </w:r>
                  <w:r w:rsidRPr="00B21BC2">
                    <w:rPr>
                      <w:rFonts w:ascii="Arial" w:hAnsi="Arial" w:cs="Arial" w:hint="cs"/>
                      <w:b/>
                      <w:bCs/>
                      <w:snapToGrid w:val="0"/>
                      <w:sz w:val="14"/>
                      <w:szCs w:val="14"/>
                      <w:rtl/>
                    </w:rPr>
                    <w:t>2019</w:t>
                  </w:r>
                </w:p>
              </w:txbxContent>
            </v:textbox>
            <w10:wrap anchorx="page"/>
          </v:rect>
        </w:pict>
      </w:r>
      <w:r w:rsidR="00F753AE" w:rsidRPr="004601D7">
        <w:rPr>
          <w:noProof/>
        </w:rPr>
        <w:t>The average number of students per class in the basic stage by supervisory authority was 30.2 in governmental schools, 40.0 in UNRWA schools, and 22.8 in private schools. The average number of students per class in the secondary stage was 28.8 in governmental schools, 31.3 in UNRWA schools and 19.8 in private schools.</w:t>
      </w:r>
    </w:p>
    <w:p w:rsidR="00604E41" w:rsidRPr="004601D7" w:rsidRDefault="00604E41" w:rsidP="00F753AE">
      <w:pPr>
        <w:pStyle w:val="ListParagraph"/>
        <w:bidi w:val="0"/>
        <w:ind w:left="0"/>
        <w:jc w:val="lowKashida"/>
        <w:rPr>
          <w:rFonts w:cs="Times New Roman"/>
          <w:b/>
          <w:bCs/>
          <w:i/>
          <w:iCs/>
          <w:sz w:val="18"/>
          <w:szCs w:val="18"/>
          <w:u w:val="single"/>
        </w:rPr>
      </w:pPr>
    </w:p>
    <w:p w:rsidR="00F753AE" w:rsidRPr="004601D7" w:rsidRDefault="00F753AE" w:rsidP="00FA4362">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education, see the tables in chapter 1.8 of the Arabic section, pages 9</w:t>
      </w:r>
      <w:r w:rsidR="00FA4362" w:rsidRPr="004601D7">
        <w:rPr>
          <w:rFonts w:cs="Times New Roman"/>
          <w:b/>
          <w:bCs/>
          <w:i/>
          <w:iCs/>
          <w:sz w:val="18"/>
          <w:szCs w:val="18"/>
          <w:u w:val="single"/>
        </w:rPr>
        <w:t>1</w:t>
      </w:r>
      <w:r w:rsidRPr="004601D7">
        <w:rPr>
          <w:rFonts w:cs="Times New Roman"/>
          <w:b/>
          <w:bCs/>
          <w:i/>
          <w:iCs/>
          <w:sz w:val="18"/>
          <w:szCs w:val="18"/>
          <w:u w:val="single"/>
        </w:rPr>
        <w:t>-1</w:t>
      </w:r>
      <w:r w:rsidR="00FA4362" w:rsidRPr="004601D7">
        <w:rPr>
          <w:rFonts w:cs="Times New Roman"/>
          <w:b/>
          <w:bCs/>
          <w:i/>
          <w:iCs/>
          <w:sz w:val="18"/>
          <w:szCs w:val="18"/>
          <w:u w:val="single"/>
        </w:rPr>
        <w:t>06</w:t>
      </w:r>
      <w:r w:rsidRPr="004601D7">
        <w:rPr>
          <w:rFonts w:cs="Times New Roman"/>
          <w:b/>
          <w:bCs/>
          <w:i/>
          <w:iCs/>
          <w:sz w:val="18"/>
          <w:szCs w:val="18"/>
          <w:u w:val="single"/>
        </w:rPr>
        <w:t>.</w:t>
      </w:r>
    </w:p>
    <w:p w:rsidR="00F753AE" w:rsidRPr="004601D7" w:rsidRDefault="00F753AE" w:rsidP="00F753AE">
      <w:pPr>
        <w:pStyle w:val="Title"/>
        <w:bidi w:val="0"/>
        <w:ind w:left="98"/>
        <w:jc w:val="left"/>
        <w:rPr>
          <w:rFonts w:cs="Traditional Arabic"/>
          <w:sz w:val="20"/>
          <w:szCs w:val="20"/>
        </w:rPr>
      </w:pPr>
    </w:p>
    <w:p w:rsidR="00F753AE" w:rsidRPr="004601D7" w:rsidRDefault="00F753AE" w:rsidP="00AF4647">
      <w:pPr>
        <w:pStyle w:val="Title"/>
        <w:numPr>
          <w:ilvl w:val="0"/>
          <w:numId w:val="19"/>
        </w:numPr>
        <w:bidi w:val="0"/>
        <w:ind w:left="252" w:hanging="252"/>
        <w:jc w:val="left"/>
        <w:rPr>
          <w:rFonts w:cs="Traditional Arabic"/>
          <w:sz w:val="20"/>
          <w:szCs w:val="20"/>
        </w:rPr>
      </w:pPr>
      <w:r w:rsidRPr="004601D7">
        <w:rPr>
          <w:rFonts w:cs="Traditional Arabic"/>
          <w:sz w:val="20"/>
          <w:szCs w:val="20"/>
        </w:rPr>
        <w:t>Culture</w:t>
      </w:r>
      <w:r w:rsidRPr="004601D7">
        <w:rPr>
          <w:rFonts w:cs="Traditional Arabic"/>
          <w:sz w:val="20"/>
          <w:szCs w:val="20"/>
        </w:rPr>
        <w:tab/>
        <w:t xml:space="preserve">                              </w:t>
      </w:r>
    </w:p>
    <w:p w:rsidR="00F753AE" w:rsidRPr="004601D7" w:rsidRDefault="00F753AE" w:rsidP="00D60D30">
      <w:pPr>
        <w:pStyle w:val="BodyText2"/>
        <w:numPr>
          <w:ilvl w:val="0"/>
          <w:numId w:val="20"/>
        </w:numPr>
        <w:overflowPunct/>
        <w:autoSpaceDE/>
        <w:adjustRightInd/>
        <w:spacing w:after="120"/>
        <w:ind w:left="266" w:hanging="266"/>
        <w:textAlignment w:val="auto"/>
        <w:rPr>
          <w:noProof/>
        </w:rPr>
      </w:pPr>
      <w:r w:rsidRPr="004601D7">
        <w:rPr>
          <w:noProof/>
        </w:rPr>
        <w:t xml:space="preserve">In 2019, there were 566 operating cultural centers </w:t>
      </w:r>
      <w:r w:rsidR="00B21BC2" w:rsidRPr="004601D7">
        <w:rPr>
          <w:noProof/>
        </w:rPr>
        <w:t xml:space="preserve">and </w:t>
      </w:r>
      <w:r w:rsidR="00B21BC2" w:rsidRPr="004601D7">
        <w:rPr>
          <w:rFonts w:hint="cs"/>
          <w:noProof/>
          <w:rtl/>
        </w:rPr>
        <w:t>34</w:t>
      </w:r>
      <w:r w:rsidR="00B21BC2" w:rsidRPr="004601D7">
        <w:rPr>
          <w:noProof/>
        </w:rPr>
        <w:t xml:space="preserve"> </w:t>
      </w:r>
      <w:r w:rsidR="00D60D30" w:rsidRPr="004601D7">
        <w:rPr>
          <w:noProof/>
        </w:rPr>
        <w:t xml:space="preserve">operating </w:t>
      </w:r>
      <w:r w:rsidR="00B21BC2" w:rsidRPr="004601D7">
        <w:rPr>
          <w:noProof/>
        </w:rPr>
        <w:t xml:space="preserve">museums </w:t>
      </w:r>
      <w:r w:rsidRPr="004601D7">
        <w:rPr>
          <w:noProof/>
        </w:rPr>
        <w:t>in Palestine.</w:t>
      </w:r>
    </w:p>
    <w:p w:rsidR="00B21BC2" w:rsidRPr="004601D7" w:rsidRDefault="00B21BC2" w:rsidP="00604E41">
      <w:pPr>
        <w:overflowPunct/>
        <w:autoSpaceDE/>
        <w:autoSpaceDN/>
        <w:adjustRightInd/>
        <w:jc w:val="center"/>
        <w:textAlignment w:val="auto"/>
        <w:rPr>
          <w:rFonts w:ascii="Arial" w:hAnsi="Arial" w:cs="Arial"/>
          <w:b/>
          <w:bCs/>
          <w:sz w:val="18"/>
          <w:szCs w:val="18"/>
        </w:rPr>
      </w:pPr>
    </w:p>
    <w:p w:rsidR="00F753AE" w:rsidRPr="004601D7" w:rsidRDefault="00F753AE" w:rsidP="00604E41">
      <w:pPr>
        <w:overflowPunct/>
        <w:autoSpaceDE/>
        <w:autoSpaceDN/>
        <w:adjustRightInd/>
        <w:jc w:val="center"/>
        <w:textAlignment w:val="auto"/>
        <w:rPr>
          <w:rFonts w:ascii="Arial" w:hAnsi="Arial" w:cs="Arial"/>
          <w:b/>
          <w:bCs/>
          <w:sz w:val="18"/>
          <w:szCs w:val="18"/>
        </w:rPr>
      </w:pPr>
      <w:r w:rsidRPr="004601D7">
        <w:rPr>
          <w:rFonts w:ascii="Arial" w:hAnsi="Arial" w:cs="Arial"/>
          <w:b/>
          <w:bCs/>
          <w:sz w:val="18"/>
          <w:szCs w:val="18"/>
        </w:rPr>
        <w:t>Audience of Stage Shows in Palestine by Month, 2019</w:t>
      </w:r>
    </w:p>
    <w:p w:rsidR="00F753AE" w:rsidRPr="004601D7" w:rsidRDefault="00F753AE" w:rsidP="00F753AE">
      <w:pPr>
        <w:jc w:val="center"/>
        <w:rPr>
          <w:b/>
          <w:bCs/>
          <w:sz w:val="10"/>
          <w:szCs w:val="10"/>
        </w:rPr>
      </w:pPr>
    </w:p>
    <w:tbl>
      <w:tblPr>
        <w:tblStyle w:val="TableGrid"/>
        <w:tblW w:w="5000" w:type="pct"/>
        <w:tblLook w:val="04A0" w:firstRow="1" w:lastRow="0" w:firstColumn="1" w:lastColumn="0" w:noHBand="0" w:noVBand="1"/>
      </w:tblPr>
      <w:tblGrid>
        <w:gridCol w:w="7587"/>
      </w:tblGrid>
      <w:tr w:rsidR="00435E16" w:rsidRPr="004601D7" w:rsidTr="00435E16">
        <w:tc>
          <w:tcPr>
            <w:tcW w:w="5000" w:type="pct"/>
          </w:tcPr>
          <w:p w:rsidR="00435E16" w:rsidRPr="004601D7" w:rsidRDefault="00435E16" w:rsidP="00CE0EE4">
            <w:pPr>
              <w:jc w:val="center"/>
              <w:rPr>
                <w:rFonts w:ascii="Arial" w:hAnsi="Arial" w:cs="Arial"/>
                <w:b/>
                <w:bCs/>
                <w:sz w:val="18"/>
                <w:szCs w:val="18"/>
              </w:rPr>
            </w:pPr>
            <w:r w:rsidRPr="004601D7">
              <w:rPr>
                <w:rFonts w:ascii="Arial" w:hAnsi="Arial" w:cs="Arial"/>
                <w:b/>
                <w:bCs/>
                <w:noProof/>
                <w:sz w:val="18"/>
                <w:szCs w:val="18"/>
              </w:rPr>
              <w:drawing>
                <wp:inline distT="0" distB="0" distL="0" distR="0">
                  <wp:extent cx="4683125" cy="2137144"/>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3073A" w:rsidRPr="004601D7" w:rsidRDefault="0023073A" w:rsidP="007F2633">
      <w:pPr>
        <w:pStyle w:val="ListParagraph"/>
        <w:bidi w:val="0"/>
        <w:ind w:left="0"/>
        <w:jc w:val="lowKashida"/>
        <w:rPr>
          <w:rFonts w:cs="Times New Roman"/>
          <w:b/>
          <w:bCs/>
          <w:i/>
          <w:iCs/>
          <w:sz w:val="18"/>
          <w:szCs w:val="18"/>
          <w:u w:val="single"/>
        </w:rPr>
      </w:pPr>
    </w:p>
    <w:p w:rsidR="00F753AE" w:rsidRPr="004601D7" w:rsidRDefault="00F753AE" w:rsidP="0023073A">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culture, see the tables in chapter 1.9 of the Arabic section, pages 1</w:t>
      </w:r>
      <w:r w:rsidR="007F2633" w:rsidRPr="004601D7">
        <w:rPr>
          <w:rFonts w:cs="Times New Roman"/>
          <w:b/>
          <w:bCs/>
          <w:i/>
          <w:iCs/>
          <w:sz w:val="18"/>
          <w:szCs w:val="18"/>
          <w:u w:val="single"/>
        </w:rPr>
        <w:t>07</w:t>
      </w:r>
      <w:r w:rsidRPr="004601D7">
        <w:rPr>
          <w:rFonts w:cs="Times New Roman"/>
          <w:b/>
          <w:bCs/>
          <w:i/>
          <w:iCs/>
          <w:sz w:val="18"/>
          <w:szCs w:val="18"/>
          <w:u w:val="single"/>
        </w:rPr>
        <w:t>-11</w:t>
      </w:r>
      <w:r w:rsidR="007F2633" w:rsidRPr="004601D7">
        <w:rPr>
          <w:rFonts w:cs="Times New Roman"/>
          <w:b/>
          <w:bCs/>
          <w:i/>
          <w:iCs/>
          <w:sz w:val="18"/>
          <w:szCs w:val="18"/>
          <w:u w:val="single"/>
        </w:rPr>
        <w:t>2</w:t>
      </w:r>
      <w:r w:rsidRPr="004601D7">
        <w:rPr>
          <w:rFonts w:cs="Times New Roman"/>
          <w:b/>
          <w:bCs/>
          <w:i/>
          <w:iCs/>
          <w:sz w:val="18"/>
          <w:szCs w:val="18"/>
          <w:u w:val="single"/>
        </w:rPr>
        <w:t>.</w:t>
      </w:r>
    </w:p>
    <w:p w:rsidR="00F753AE" w:rsidRDefault="00F753AE" w:rsidP="00F753AE">
      <w:pPr>
        <w:pStyle w:val="Title"/>
        <w:bidi w:val="0"/>
        <w:ind w:left="98"/>
        <w:jc w:val="lowKashida"/>
        <w:rPr>
          <w:rFonts w:cs="Traditional Arabic"/>
          <w:sz w:val="20"/>
          <w:szCs w:val="20"/>
        </w:rPr>
      </w:pPr>
    </w:p>
    <w:p w:rsidR="00912D4D" w:rsidRDefault="00912D4D" w:rsidP="00912D4D">
      <w:pPr>
        <w:pStyle w:val="Title"/>
        <w:bidi w:val="0"/>
        <w:ind w:left="98"/>
        <w:jc w:val="lowKashida"/>
        <w:rPr>
          <w:rFonts w:cs="Traditional Arabic"/>
          <w:sz w:val="20"/>
          <w:szCs w:val="20"/>
        </w:rPr>
      </w:pPr>
    </w:p>
    <w:p w:rsidR="00912D4D" w:rsidRDefault="00912D4D" w:rsidP="00912D4D">
      <w:pPr>
        <w:pStyle w:val="Title"/>
        <w:bidi w:val="0"/>
        <w:ind w:left="98"/>
        <w:jc w:val="lowKashida"/>
        <w:rPr>
          <w:rFonts w:cs="Traditional Arabic"/>
          <w:sz w:val="20"/>
          <w:szCs w:val="20"/>
        </w:rPr>
      </w:pPr>
    </w:p>
    <w:p w:rsidR="00912D4D" w:rsidRPr="004601D7" w:rsidRDefault="00912D4D" w:rsidP="00912D4D">
      <w:pPr>
        <w:pStyle w:val="Title"/>
        <w:bidi w:val="0"/>
        <w:ind w:left="98"/>
        <w:jc w:val="lowKashida"/>
        <w:rPr>
          <w:rFonts w:cs="Traditional Arabic"/>
          <w:sz w:val="20"/>
          <w:szCs w:val="20"/>
        </w:rPr>
      </w:pPr>
    </w:p>
    <w:p w:rsidR="007C643D" w:rsidRPr="004601D7" w:rsidRDefault="007C643D" w:rsidP="007C643D">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lastRenderedPageBreak/>
        <w:t>Information Society</w:t>
      </w:r>
    </w:p>
    <w:p w:rsidR="00E61CAB" w:rsidRPr="004601D7" w:rsidRDefault="00E61CAB" w:rsidP="00E61CAB">
      <w:pPr>
        <w:pStyle w:val="BodyText2"/>
        <w:numPr>
          <w:ilvl w:val="0"/>
          <w:numId w:val="2"/>
        </w:numPr>
        <w:overflowPunct/>
        <w:autoSpaceDE/>
        <w:autoSpaceDN/>
        <w:adjustRightInd/>
        <w:spacing w:after="120"/>
        <w:ind w:left="266" w:hanging="266"/>
        <w:textAlignment w:val="auto"/>
        <w:rPr>
          <w:noProof/>
        </w:rPr>
      </w:pPr>
      <w:r w:rsidRPr="004601D7">
        <w:rPr>
          <w:noProof/>
        </w:rPr>
        <w:t>In 2019, 33.2% of households in Palestine had computer (Desktop, Laptop, Tablet).</w:t>
      </w:r>
    </w:p>
    <w:p w:rsidR="00E61CAB" w:rsidRPr="004601D7" w:rsidRDefault="00E61CAB" w:rsidP="00E61CAB">
      <w:pPr>
        <w:pStyle w:val="BodyText2"/>
        <w:numPr>
          <w:ilvl w:val="0"/>
          <w:numId w:val="2"/>
        </w:numPr>
        <w:overflowPunct/>
        <w:autoSpaceDE/>
        <w:autoSpaceDN/>
        <w:adjustRightInd/>
        <w:spacing w:after="120"/>
        <w:ind w:left="266" w:hanging="266"/>
        <w:textAlignment w:val="auto"/>
        <w:rPr>
          <w:noProof/>
        </w:rPr>
      </w:pPr>
      <w:r w:rsidRPr="004601D7">
        <w:rPr>
          <w:noProof/>
        </w:rPr>
        <w:t>In 2019, 79.6% of households in Palestine had an Internet service at home and 97.3% of households in Palestine had at least one mobile phone.</w:t>
      </w:r>
    </w:p>
    <w:p w:rsidR="00485D10" w:rsidRPr="004601D7" w:rsidRDefault="00485D10" w:rsidP="00485D10">
      <w:pPr>
        <w:pStyle w:val="ListParagraph"/>
        <w:bidi w:val="0"/>
        <w:ind w:left="0"/>
        <w:jc w:val="lowKashida"/>
        <w:rPr>
          <w:rFonts w:cs="Times New Roman"/>
          <w:i/>
          <w:iCs/>
          <w:sz w:val="2"/>
          <w:szCs w:val="2"/>
          <w:u w:val="single"/>
        </w:rPr>
      </w:pPr>
    </w:p>
    <w:p w:rsidR="00D27191" w:rsidRPr="004601D7" w:rsidRDefault="00D27191" w:rsidP="007F2633">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the information society, see the tables in chapter 1.</w:t>
      </w:r>
      <w:r w:rsidR="00C0209D" w:rsidRPr="004601D7">
        <w:rPr>
          <w:rFonts w:cs="Times New Roman"/>
          <w:b/>
          <w:bCs/>
          <w:i/>
          <w:iCs/>
          <w:sz w:val="18"/>
          <w:szCs w:val="18"/>
          <w:u w:val="single"/>
        </w:rPr>
        <w:t>10</w:t>
      </w:r>
      <w:r w:rsidRPr="004601D7">
        <w:rPr>
          <w:rFonts w:cs="Times New Roman"/>
          <w:b/>
          <w:bCs/>
          <w:i/>
          <w:iCs/>
          <w:sz w:val="18"/>
          <w:szCs w:val="18"/>
          <w:u w:val="single"/>
        </w:rPr>
        <w:t xml:space="preserve"> of the Arabic section, pages</w:t>
      </w:r>
      <w:r w:rsidRPr="004601D7">
        <w:rPr>
          <w:rFonts w:cs="Times New Roman"/>
          <w:b/>
          <w:bCs/>
          <w:i/>
          <w:iCs/>
          <w:sz w:val="18"/>
          <w:szCs w:val="18"/>
          <w:u w:val="single"/>
          <w:rtl/>
        </w:rPr>
        <w:t xml:space="preserve"> </w:t>
      </w:r>
      <w:r w:rsidR="0015308F" w:rsidRPr="004601D7">
        <w:rPr>
          <w:rFonts w:cs="Times New Roman"/>
          <w:b/>
          <w:bCs/>
          <w:i/>
          <w:iCs/>
          <w:sz w:val="18"/>
          <w:szCs w:val="18"/>
          <w:u w:val="single"/>
        </w:rPr>
        <w:t>11</w:t>
      </w:r>
      <w:r w:rsidR="007F2633" w:rsidRPr="004601D7">
        <w:rPr>
          <w:rFonts w:cs="Times New Roman"/>
          <w:b/>
          <w:bCs/>
          <w:i/>
          <w:iCs/>
          <w:sz w:val="18"/>
          <w:szCs w:val="18"/>
          <w:u w:val="single"/>
        </w:rPr>
        <w:t>3</w:t>
      </w:r>
      <w:r w:rsidRPr="004601D7">
        <w:rPr>
          <w:rFonts w:cs="Times New Roman"/>
          <w:b/>
          <w:bCs/>
          <w:i/>
          <w:iCs/>
          <w:sz w:val="18"/>
          <w:szCs w:val="18"/>
          <w:u w:val="single"/>
        </w:rPr>
        <w:t>-</w:t>
      </w:r>
      <w:r w:rsidR="0015308F" w:rsidRPr="004601D7">
        <w:rPr>
          <w:rFonts w:cs="Times New Roman"/>
          <w:b/>
          <w:bCs/>
          <w:i/>
          <w:iCs/>
          <w:sz w:val="18"/>
          <w:szCs w:val="18"/>
          <w:u w:val="single"/>
        </w:rPr>
        <w:t>1</w:t>
      </w:r>
      <w:r w:rsidR="007F2633" w:rsidRPr="004601D7">
        <w:rPr>
          <w:rFonts w:cs="Times New Roman"/>
          <w:b/>
          <w:bCs/>
          <w:i/>
          <w:iCs/>
          <w:sz w:val="18"/>
          <w:szCs w:val="18"/>
          <w:u w:val="single"/>
        </w:rPr>
        <w:t>16</w:t>
      </w:r>
      <w:r w:rsidRPr="004601D7">
        <w:rPr>
          <w:rFonts w:cs="Times New Roman"/>
          <w:b/>
          <w:bCs/>
          <w:i/>
          <w:iCs/>
          <w:sz w:val="18"/>
          <w:szCs w:val="18"/>
          <w:u w:val="single"/>
        </w:rPr>
        <w:t>.</w:t>
      </w:r>
    </w:p>
    <w:p w:rsidR="00604E41" w:rsidRPr="004601D7" w:rsidRDefault="00604E41" w:rsidP="00604E41">
      <w:pPr>
        <w:pStyle w:val="ListParagraph"/>
        <w:bidi w:val="0"/>
        <w:ind w:left="0"/>
        <w:jc w:val="lowKashida"/>
        <w:rPr>
          <w:rFonts w:cs="Times New Roman"/>
          <w:b/>
          <w:bCs/>
          <w:i/>
          <w:iCs/>
          <w:sz w:val="18"/>
          <w:szCs w:val="18"/>
          <w:u w:val="single"/>
        </w:rPr>
      </w:pPr>
    </w:p>
    <w:p w:rsidR="00EB1A1F" w:rsidRPr="004601D7" w:rsidRDefault="008D1EBD" w:rsidP="000878AD">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 xml:space="preserve">Agriculture and </w:t>
      </w:r>
      <w:r w:rsidR="00EB1A1F" w:rsidRPr="004601D7">
        <w:rPr>
          <w:rFonts w:cs="Traditional Arabic"/>
          <w:sz w:val="20"/>
          <w:szCs w:val="20"/>
        </w:rPr>
        <w:t>Land Use</w:t>
      </w:r>
    </w:p>
    <w:p w:rsidR="00240C22" w:rsidRPr="004601D7" w:rsidRDefault="00240C22" w:rsidP="00240C22">
      <w:pPr>
        <w:pStyle w:val="BodyText2"/>
        <w:numPr>
          <w:ilvl w:val="0"/>
          <w:numId w:val="2"/>
        </w:numPr>
        <w:overflowPunct/>
        <w:autoSpaceDE/>
        <w:autoSpaceDN/>
        <w:adjustRightInd/>
        <w:ind w:left="266" w:hanging="266"/>
        <w:textAlignment w:val="auto"/>
        <w:rPr>
          <w:noProof/>
        </w:rPr>
      </w:pPr>
      <w:r w:rsidRPr="004601D7">
        <w:rPr>
          <w:noProof/>
        </w:rPr>
        <w:t xml:space="preserve">The total amount of fishing in Gaza Strip reached </w:t>
      </w:r>
      <w:r w:rsidRPr="004601D7">
        <w:rPr>
          <w:rFonts w:ascii="Simplified Arabic" w:hAnsi="Simplified Arabic" w:hint="cs"/>
          <w:rtl/>
        </w:rPr>
        <w:t>3,943</w:t>
      </w:r>
      <w:r w:rsidRPr="004601D7">
        <w:rPr>
          <w:rFonts w:ascii="Simplified Arabic" w:hAnsi="Simplified Arabic"/>
        </w:rPr>
        <w:t xml:space="preserve"> </w:t>
      </w:r>
      <w:r w:rsidRPr="004601D7">
        <w:rPr>
          <w:noProof/>
        </w:rPr>
        <w:t xml:space="preserve">tons in 2019, of which Anchovies, were the most important as the fished amount totaled approximately </w:t>
      </w:r>
      <w:r w:rsidRPr="004601D7">
        <w:rPr>
          <w:rFonts w:ascii="Simplified Arabic" w:hAnsi="Simplified Arabic" w:hint="cs"/>
          <w:rtl/>
        </w:rPr>
        <w:t>974</w:t>
      </w:r>
      <w:r w:rsidRPr="004601D7">
        <w:rPr>
          <w:rFonts w:ascii="Simplified Arabic" w:hAnsi="Simplified Arabic"/>
        </w:rPr>
        <w:t xml:space="preserve"> </w:t>
      </w:r>
      <w:r w:rsidRPr="004601D7">
        <w:rPr>
          <w:noProof/>
        </w:rPr>
        <w:t>tons</w:t>
      </w:r>
      <w:r w:rsidRPr="004601D7">
        <w:rPr>
          <w:noProof/>
          <w:rtl/>
        </w:rPr>
        <w:t>.</w:t>
      </w:r>
    </w:p>
    <w:p w:rsidR="00240C22" w:rsidRPr="004601D7" w:rsidRDefault="00240C22" w:rsidP="00240C22">
      <w:pPr>
        <w:pStyle w:val="BodyText2"/>
        <w:numPr>
          <w:ilvl w:val="0"/>
          <w:numId w:val="2"/>
        </w:numPr>
        <w:overflowPunct/>
        <w:autoSpaceDE/>
        <w:autoSpaceDN/>
        <w:adjustRightInd/>
        <w:ind w:left="266" w:hanging="266"/>
        <w:textAlignment w:val="auto"/>
        <w:rPr>
          <w:noProof/>
          <w:rtl/>
        </w:rPr>
      </w:pPr>
      <w:r w:rsidRPr="004601D7">
        <w:rPr>
          <w:noProof/>
        </w:rPr>
        <w:t xml:space="preserve">The number of slaughtered livestock in operating slaughterhouses in palestine was </w:t>
      </w:r>
      <w:r w:rsidRPr="004601D7">
        <w:rPr>
          <w:rFonts w:ascii="Simplified Arabic" w:hAnsi="Simplified Arabic" w:cs="Simplified Arabic"/>
          <w:rtl/>
        </w:rPr>
        <w:t>35,969</w:t>
      </w:r>
      <w:r w:rsidRPr="004601D7">
        <w:rPr>
          <w:noProof/>
        </w:rPr>
        <w:t xml:space="preserve"> head of cattle, </w:t>
      </w:r>
      <w:r w:rsidRPr="004601D7">
        <w:rPr>
          <w:rFonts w:ascii="Simplified Arabic" w:hAnsi="Simplified Arabic" w:cs="Simplified Arabic"/>
          <w:rtl/>
        </w:rPr>
        <w:t>65,509</w:t>
      </w:r>
      <w:r w:rsidRPr="004601D7">
        <w:rPr>
          <w:rFonts w:ascii="Simplified Arabic" w:hAnsi="Simplified Arabic" w:cs="Simplified Arabic"/>
        </w:rPr>
        <w:t xml:space="preserve"> </w:t>
      </w:r>
      <w:r w:rsidRPr="004601D7">
        <w:rPr>
          <w:noProof/>
        </w:rPr>
        <w:t xml:space="preserve">head of sheep and </w:t>
      </w:r>
      <w:r w:rsidRPr="004601D7">
        <w:rPr>
          <w:rFonts w:ascii="Simplified Arabic" w:hAnsi="Simplified Arabic" w:cs="Simplified Arabic"/>
          <w:rtl/>
        </w:rPr>
        <w:t>5,936</w:t>
      </w:r>
      <w:r w:rsidRPr="004601D7">
        <w:rPr>
          <w:rFonts w:ascii="Simplified Arabic" w:hAnsi="Simplified Arabic" w:cs="Simplified Arabic"/>
        </w:rPr>
        <w:t xml:space="preserve"> </w:t>
      </w:r>
      <w:r w:rsidRPr="004601D7">
        <w:rPr>
          <w:noProof/>
        </w:rPr>
        <w:t xml:space="preserve">head of goats. while the number of slaughtered birds was </w:t>
      </w:r>
      <w:r w:rsidRPr="004601D7">
        <w:rPr>
          <w:rFonts w:ascii="Simplified Arabic" w:hAnsi="Simplified Arabic" w:cs="Simplified Arabic"/>
          <w:rtl/>
        </w:rPr>
        <w:t>9,950</w:t>
      </w:r>
      <w:r w:rsidRPr="004601D7">
        <w:rPr>
          <w:rFonts w:ascii="Simplified Arabic" w:hAnsi="Simplified Arabic" w:cs="Simplified Arabic"/>
        </w:rPr>
        <w:t xml:space="preserve"> </w:t>
      </w:r>
      <w:r w:rsidRPr="004601D7">
        <w:rPr>
          <w:noProof/>
        </w:rPr>
        <w:t>thousand bird during year 2019</w:t>
      </w:r>
      <w:r w:rsidRPr="004601D7">
        <w:rPr>
          <w:noProof/>
          <w:rtl/>
        </w:rPr>
        <w:t>.</w:t>
      </w:r>
    </w:p>
    <w:p w:rsidR="00240C22" w:rsidRPr="004601D7" w:rsidRDefault="00240C22" w:rsidP="00B21BC2">
      <w:pPr>
        <w:pStyle w:val="BodyText2"/>
        <w:numPr>
          <w:ilvl w:val="0"/>
          <w:numId w:val="2"/>
        </w:numPr>
        <w:overflowPunct/>
        <w:autoSpaceDE/>
        <w:autoSpaceDN/>
        <w:adjustRightInd/>
        <w:ind w:left="266" w:hanging="266"/>
        <w:textAlignment w:val="auto"/>
        <w:rPr>
          <w:noProof/>
        </w:rPr>
      </w:pPr>
      <w:r w:rsidRPr="004601D7">
        <w:rPr>
          <w:noProof/>
        </w:rPr>
        <w:t>Data indicate</w:t>
      </w:r>
      <w:r w:rsidR="00B21BC2" w:rsidRPr="004601D7">
        <w:rPr>
          <w:noProof/>
        </w:rPr>
        <w:t>d</w:t>
      </w:r>
      <w:r w:rsidRPr="004601D7">
        <w:rPr>
          <w:noProof/>
        </w:rPr>
        <w:t xml:space="preserve"> that  there where 40 operating hatcheries in Palestine during year 2019, the number of eggs prepared for hatching was</w:t>
      </w:r>
      <w:r w:rsidR="00B21BC2" w:rsidRPr="004601D7">
        <w:rPr>
          <w:rFonts w:ascii="Simplified Arabic" w:hAnsi="Simplified Arabic"/>
        </w:rPr>
        <w:t xml:space="preserve"> </w:t>
      </w:r>
      <w:r w:rsidRPr="004601D7">
        <w:rPr>
          <w:rFonts w:ascii="Simplified Arabic" w:hAnsi="Simplified Arabic"/>
        </w:rPr>
        <w:t>95,793</w:t>
      </w:r>
      <w:r w:rsidRPr="004601D7">
        <w:rPr>
          <w:rFonts w:ascii="Simplified Arabic" w:hAnsi="Simplified Arabic" w:hint="cs"/>
          <w:rtl/>
        </w:rPr>
        <w:t xml:space="preserve"> </w:t>
      </w:r>
      <w:r w:rsidRPr="004601D7">
        <w:rPr>
          <w:noProof/>
        </w:rPr>
        <w:t xml:space="preserve">thousand eggs for the production of broilers chicks and </w:t>
      </w:r>
      <w:r w:rsidRPr="004601D7">
        <w:rPr>
          <w:rFonts w:ascii="Simplified Arabic" w:hAnsi="Simplified Arabic"/>
        </w:rPr>
        <w:t xml:space="preserve">737 </w:t>
      </w:r>
      <w:r w:rsidRPr="004601D7">
        <w:rPr>
          <w:noProof/>
        </w:rPr>
        <w:t>thousand eggs prepared for the production of layers chicks</w:t>
      </w:r>
      <w:r w:rsidR="00C41B5B" w:rsidRPr="004601D7">
        <w:rPr>
          <w:noProof/>
        </w:rPr>
        <w:t xml:space="preserve"> in </w:t>
      </w:r>
      <w:r w:rsidR="00DF50E7" w:rsidRPr="004601D7">
        <w:rPr>
          <w:noProof/>
        </w:rPr>
        <w:t>G</w:t>
      </w:r>
      <w:r w:rsidR="00C41B5B" w:rsidRPr="004601D7">
        <w:rPr>
          <w:noProof/>
        </w:rPr>
        <w:t>aza Strip.</w:t>
      </w:r>
      <w:r w:rsidRPr="004601D7">
        <w:rPr>
          <w:noProof/>
        </w:rPr>
        <w:t xml:space="preserve"> </w:t>
      </w:r>
    </w:p>
    <w:p w:rsidR="00240C22" w:rsidRPr="004601D7" w:rsidRDefault="00240C22" w:rsidP="00B21BC2">
      <w:pPr>
        <w:pStyle w:val="BodyText2"/>
        <w:numPr>
          <w:ilvl w:val="0"/>
          <w:numId w:val="2"/>
        </w:numPr>
        <w:overflowPunct/>
        <w:autoSpaceDE/>
        <w:autoSpaceDN/>
        <w:adjustRightInd/>
        <w:ind w:left="266" w:hanging="266"/>
        <w:textAlignment w:val="auto"/>
        <w:rPr>
          <w:noProof/>
        </w:rPr>
      </w:pPr>
      <w:r w:rsidRPr="004601D7">
        <w:rPr>
          <w:noProof/>
        </w:rPr>
        <w:t>The number of operating agricultural cooperative societies in Palestine was 159. A</w:t>
      </w:r>
      <w:r w:rsidR="00B21BC2" w:rsidRPr="004601D7">
        <w:rPr>
          <w:noProof/>
        </w:rPr>
        <w:t xml:space="preserve">s for </w:t>
      </w:r>
      <w:r w:rsidRPr="004601D7">
        <w:rPr>
          <w:noProof/>
        </w:rPr>
        <w:t>activity</w:t>
      </w:r>
      <w:r w:rsidR="00B21BC2" w:rsidRPr="004601D7">
        <w:rPr>
          <w:noProof/>
        </w:rPr>
        <w:t>,</w:t>
      </w:r>
      <w:r w:rsidRPr="004601D7">
        <w:rPr>
          <w:noProof/>
        </w:rPr>
        <w:t xml:space="preserve"> there were 69 society focused on agricultural production activity, followed by 38 society focused in livestock and poultry breeding activity in Palestine during year 2019</w:t>
      </w:r>
    </w:p>
    <w:p w:rsidR="00240C22" w:rsidRPr="004601D7" w:rsidRDefault="00240C22" w:rsidP="00240C22">
      <w:pPr>
        <w:pStyle w:val="BodyText2"/>
        <w:numPr>
          <w:ilvl w:val="0"/>
          <w:numId w:val="2"/>
        </w:numPr>
        <w:overflowPunct/>
        <w:autoSpaceDE/>
        <w:autoSpaceDN/>
        <w:adjustRightInd/>
        <w:ind w:left="266" w:hanging="266"/>
        <w:textAlignment w:val="auto"/>
        <w:rPr>
          <w:noProof/>
        </w:rPr>
      </w:pPr>
      <w:r w:rsidRPr="004601D7">
        <w:rPr>
          <w:noProof/>
        </w:rPr>
        <w:t xml:space="preserve">There are 3,073 agricultural engineers registered in palestinian agricultural engineers association during 2019, 1,799 </w:t>
      </w:r>
      <w:r w:rsidR="00DF50E7" w:rsidRPr="004601D7">
        <w:rPr>
          <w:noProof/>
        </w:rPr>
        <w:t xml:space="preserve">agricultural engineers </w:t>
      </w:r>
      <w:r w:rsidRPr="004601D7">
        <w:rPr>
          <w:noProof/>
        </w:rPr>
        <w:t xml:space="preserve">of them were in the West Bank, and 1,274 </w:t>
      </w:r>
      <w:r w:rsidR="00DF50E7" w:rsidRPr="004601D7">
        <w:rPr>
          <w:noProof/>
        </w:rPr>
        <w:t xml:space="preserve">agricultural engineers </w:t>
      </w:r>
      <w:r w:rsidRPr="004601D7">
        <w:rPr>
          <w:noProof/>
        </w:rPr>
        <w:t>in Gaza Strip</w:t>
      </w:r>
    </w:p>
    <w:p w:rsidR="00240C22" w:rsidRPr="004601D7" w:rsidRDefault="00240C22" w:rsidP="00240C22">
      <w:pPr>
        <w:pStyle w:val="BodyText2"/>
        <w:numPr>
          <w:ilvl w:val="0"/>
          <w:numId w:val="2"/>
        </w:numPr>
        <w:overflowPunct/>
        <w:autoSpaceDE/>
        <w:autoSpaceDN/>
        <w:adjustRightInd/>
        <w:ind w:left="266" w:hanging="266"/>
        <w:textAlignment w:val="auto"/>
        <w:rPr>
          <w:noProof/>
        </w:rPr>
      </w:pPr>
      <w:r w:rsidRPr="004601D7">
        <w:rPr>
          <w:noProof/>
        </w:rPr>
        <w:t xml:space="preserve">The number of licensed agricultural nurseries were 186 nursery in Palestine during year 2019, of which 136 were in the West Bank and 50 in Gaza Strip, the total area of these nurseries was </w:t>
      </w:r>
      <w:r w:rsidRPr="004601D7">
        <w:rPr>
          <w:rFonts w:ascii="Simplified Arabic" w:hAnsi="Simplified Arabic"/>
        </w:rPr>
        <w:t>1,219.7</w:t>
      </w:r>
      <w:r w:rsidRPr="004601D7">
        <w:rPr>
          <w:noProof/>
        </w:rPr>
        <w:t xml:space="preserve"> dunums while the average area of these nursery was 6.56 dunums </w:t>
      </w:r>
    </w:p>
    <w:p w:rsidR="00240C22" w:rsidRPr="004601D7" w:rsidRDefault="00240C22" w:rsidP="00240C22">
      <w:pPr>
        <w:pStyle w:val="BodyText2"/>
        <w:numPr>
          <w:ilvl w:val="0"/>
          <w:numId w:val="2"/>
        </w:numPr>
        <w:overflowPunct/>
        <w:autoSpaceDE/>
        <w:autoSpaceDN/>
        <w:adjustRightInd/>
        <w:ind w:left="266" w:hanging="266"/>
        <w:textAlignment w:val="auto"/>
        <w:rPr>
          <w:noProof/>
        </w:rPr>
      </w:pPr>
      <w:r w:rsidRPr="004601D7">
        <w:rPr>
          <w:noProof/>
        </w:rPr>
        <w:t xml:space="preserve">The number of vaccines given to the animals in Palestine were </w:t>
      </w:r>
      <w:r w:rsidRPr="004601D7">
        <w:rPr>
          <w:rFonts w:ascii="Simplified Arabic" w:hAnsi="Simplified Arabic"/>
          <w:rtl/>
        </w:rPr>
        <w:t>1</w:t>
      </w:r>
      <w:r w:rsidRPr="004601D7">
        <w:rPr>
          <w:rFonts w:ascii="Simplified Arabic" w:hAnsi="Simplified Arabic" w:hint="cs"/>
          <w:rtl/>
        </w:rPr>
        <w:t>,499,608</w:t>
      </w:r>
      <w:r w:rsidRPr="004601D7">
        <w:rPr>
          <w:rFonts w:ascii="Simplified Arabic" w:hAnsi="Simplified Arabic"/>
        </w:rPr>
        <w:t xml:space="preserve"> </w:t>
      </w:r>
      <w:r w:rsidRPr="004601D7">
        <w:rPr>
          <w:noProof/>
        </w:rPr>
        <w:t xml:space="preserve">vaccines during 2019 (of which </w:t>
      </w:r>
      <w:r w:rsidRPr="004601D7">
        <w:rPr>
          <w:rFonts w:ascii="Simplified Arabic" w:hAnsi="Simplified Arabic"/>
        </w:rPr>
        <w:t>1,477,694</w:t>
      </w:r>
      <w:r w:rsidRPr="004601D7">
        <w:rPr>
          <w:noProof/>
        </w:rPr>
        <w:t xml:space="preserve"> vaccines in the West Bank, and </w:t>
      </w:r>
      <w:r w:rsidRPr="004601D7">
        <w:rPr>
          <w:rFonts w:ascii="Simplified Arabic" w:hAnsi="Simplified Arabic"/>
        </w:rPr>
        <w:t xml:space="preserve">21,914 </w:t>
      </w:r>
      <w:r w:rsidRPr="004601D7">
        <w:rPr>
          <w:noProof/>
        </w:rPr>
        <w:t>vaccines in Gaza Strip)</w:t>
      </w:r>
    </w:p>
    <w:p w:rsidR="00240C22" w:rsidRPr="004601D7" w:rsidRDefault="00240C22" w:rsidP="00240C22">
      <w:pPr>
        <w:pStyle w:val="BodyText2"/>
        <w:numPr>
          <w:ilvl w:val="0"/>
          <w:numId w:val="2"/>
        </w:numPr>
        <w:overflowPunct/>
        <w:autoSpaceDE/>
        <w:autoSpaceDN/>
        <w:adjustRightInd/>
        <w:ind w:left="266" w:hanging="266"/>
        <w:textAlignment w:val="auto"/>
        <w:rPr>
          <w:noProof/>
          <w:rtl/>
        </w:rPr>
      </w:pPr>
      <w:r w:rsidRPr="004601D7">
        <w:rPr>
          <w:noProof/>
        </w:rPr>
        <w:t>There are 542 Registered Veterinaries in Veterinaries Association in Palestine during 2019, including 413 veterinarian in the West Bank, and 129 veterinarian in Gaza Strip</w:t>
      </w:r>
    </w:p>
    <w:p w:rsidR="006263A0" w:rsidRPr="004601D7" w:rsidRDefault="006263A0" w:rsidP="00240C22">
      <w:pPr>
        <w:pStyle w:val="BodyText2"/>
        <w:numPr>
          <w:ilvl w:val="0"/>
          <w:numId w:val="2"/>
        </w:numPr>
        <w:overflowPunct/>
        <w:autoSpaceDE/>
        <w:autoSpaceDN/>
        <w:adjustRightInd/>
        <w:ind w:left="266" w:hanging="266"/>
        <w:textAlignment w:val="auto"/>
        <w:rPr>
          <w:noProof/>
        </w:rPr>
      </w:pPr>
      <w:r w:rsidRPr="004601D7">
        <w:rPr>
          <w:noProof/>
        </w:rPr>
        <w:t xml:space="preserve">The total quantity of pressed olives in 2019 was 177,610.8 metric tons and the quantity of extracted oil was 39,609.8 metric tons. </w:t>
      </w:r>
    </w:p>
    <w:p w:rsidR="006263A0" w:rsidRPr="004601D7" w:rsidRDefault="006263A0" w:rsidP="00240C22">
      <w:pPr>
        <w:pStyle w:val="BodyText2"/>
        <w:numPr>
          <w:ilvl w:val="0"/>
          <w:numId w:val="2"/>
        </w:numPr>
        <w:overflowPunct/>
        <w:autoSpaceDE/>
        <w:autoSpaceDN/>
        <w:adjustRightInd/>
        <w:ind w:left="266" w:hanging="266"/>
        <w:textAlignment w:val="auto"/>
        <w:rPr>
          <w:noProof/>
        </w:rPr>
      </w:pPr>
      <w:r w:rsidRPr="004601D7">
        <w:rPr>
          <w:noProof/>
        </w:rPr>
        <w:t>The value added of olive pressing activity totaled USD 19.1 million, while the intermediate consumption and output of olive presses totaled USD 4.8 million and USD 23.9 million respectively.</w:t>
      </w:r>
    </w:p>
    <w:p w:rsidR="00C0209D" w:rsidRPr="004601D7" w:rsidRDefault="00C0209D" w:rsidP="00240C22">
      <w:pPr>
        <w:pStyle w:val="ListParagraph"/>
        <w:bidi w:val="0"/>
        <w:ind w:left="0"/>
        <w:jc w:val="lowKashida"/>
        <w:rPr>
          <w:rFonts w:cs="Times New Roman"/>
          <w:i/>
          <w:iCs/>
          <w:sz w:val="20"/>
          <w:u w:val="single"/>
          <w:rtl/>
        </w:rPr>
      </w:pPr>
    </w:p>
    <w:p w:rsidR="00020126" w:rsidRPr="004601D7" w:rsidRDefault="009C673D" w:rsidP="00912D4D">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w:t>
      </w:r>
      <w:r w:rsidR="00D9796F" w:rsidRPr="004601D7">
        <w:rPr>
          <w:rFonts w:cs="Times New Roman"/>
          <w:b/>
          <w:bCs/>
          <w:i/>
          <w:iCs/>
          <w:sz w:val="18"/>
          <w:szCs w:val="18"/>
          <w:u w:val="single"/>
        </w:rPr>
        <w:t>s</w:t>
      </w:r>
      <w:r w:rsidRPr="004601D7">
        <w:rPr>
          <w:rFonts w:cs="Times New Roman"/>
          <w:b/>
          <w:bCs/>
          <w:i/>
          <w:iCs/>
          <w:sz w:val="18"/>
          <w:szCs w:val="18"/>
          <w:u w:val="single"/>
        </w:rPr>
        <w:t xml:space="preserve"> </w:t>
      </w:r>
      <w:r w:rsidR="00FA6A6A" w:rsidRPr="004601D7">
        <w:rPr>
          <w:rFonts w:cs="Times New Roman"/>
          <w:b/>
          <w:bCs/>
          <w:i/>
          <w:iCs/>
          <w:sz w:val="18"/>
          <w:szCs w:val="18"/>
          <w:u w:val="single"/>
        </w:rPr>
        <w:t xml:space="preserve">on </w:t>
      </w:r>
      <w:r w:rsidR="00D9796F" w:rsidRPr="004601D7">
        <w:rPr>
          <w:rFonts w:cs="Times New Roman"/>
          <w:b/>
          <w:bCs/>
          <w:i/>
          <w:iCs/>
          <w:sz w:val="18"/>
          <w:szCs w:val="18"/>
          <w:u w:val="single"/>
        </w:rPr>
        <w:t>a</w:t>
      </w:r>
      <w:r w:rsidRPr="004601D7">
        <w:rPr>
          <w:rFonts w:cs="Times New Roman"/>
          <w:b/>
          <w:bCs/>
          <w:i/>
          <w:iCs/>
          <w:sz w:val="18"/>
          <w:szCs w:val="18"/>
          <w:u w:val="single"/>
        </w:rPr>
        <w:t xml:space="preserve">griculture and </w:t>
      </w:r>
      <w:r w:rsidR="00D9796F" w:rsidRPr="004601D7">
        <w:rPr>
          <w:rFonts w:cs="Times New Roman"/>
          <w:b/>
          <w:bCs/>
          <w:i/>
          <w:iCs/>
          <w:sz w:val="18"/>
          <w:szCs w:val="18"/>
          <w:u w:val="single"/>
        </w:rPr>
        <w:t>l</w:t>
      </w:r>
      <w:r w:rsidRPr="004601D7">
        <w:rPr>
          <w:rFonts w:cs="Times New Roman"/>
          <w:b/>
          <w:bCs/>
          <w:i/>
          <w:iCs/>
          <w:sz w:val="18"/>
          <w:szCs w:val="18"/>
          <w:u w:val="single"/>
        </w:rPr>
        <w:t xml:space="preserve">and </w:t>
      </w:r>
      <w:r w:rsidR="00D9796F" w:rsidRPr="004601D7">
        <w:rPr>
          <w:rFonts w:cs="Times New Roman"/>
          <w:b/>
          <w:bCs/>
          <w:i/>
          <w:iCs/>
          <w:sz w:val="18"/>
          <w:szCs w:val="18"/>
          <w:u w:val="single"/>
        </w:rPr>
        <w:t>u</w:t>
      </w:r>
      <w:r w:rsidRPr="004601D7">
        <w:rPr>
          <w:rFonts w:cs="Times New Roman"/>
          <w:b/>
          <w:bCs/>
          <w:i/>
          <w:iCs/>
          <w:sz w:val="18"/>
          <w:szCs w:val="18"/>
          <w:u w:val="single"/>
        </w:rPr>
        <w:t>se</w:t>
      </w:r>
      <w:r w:rsidR="00D9796F" w:rsidRPr="004601D7">
        <w:rPr>
          <w:rFonts w:cs="Times New Roman"/>
          <w:b/>
          <w:bCs/>
          <w:i/>
          <w:iCs/>
          <w:sz w:val="18"/>
          <w:szCs w:val="18"/>
          <w:u w:val="single"/>
        </w:rPr>
        <w:t>,</w:t>
      </w:r>
      <w:r w:rsidRPr="004601D7">
        <w:rPr>
          <w:rFonts w:cs="Times New Roman"/>
          <w:b/>
          <w:bCs/>
          <w:i/>
          <w:iCs/>
          <w:sz w:val="18"/>
          <w:szCs w:val="18"/>
          <w:u w:val="single"/>
        </w:rPr>
        <w:t xml:space="preserve"> </w:t>
      </w:r>
      <w:r w:rsidR="0037009A" w:rsidRPr="004601D7">
        <w:rPr>
          <w:rFonts w:cs="Times New Roman"/>
          <w:b/>
          <w:bCs/>
          <w:i/>
          <w:iCs/>
          <w:sz w:val="18"/>
          <w:szCs w:val="18"/>
          <w:u w:val="single"/>
        </w:rPr>
        <w:t xml:space="preserve">see </w:t>
      </w:r>
      <w:r w:rsidR="00D9796F" w:rsidRPr="004601D7">
        <w:rPr>
          <w:rFonts w:cs="Times New Roman"/>
          <w:b/>
          <w:bCs/>
          <w:i/>
          <w:iCs/>
          <w:sz w:val="18"/>
          <w:szCs w:val="18"/>
          <w:u w:val="single"/>
        </w:rPr>
        <w:t xml:space="preserve">the </w:t>
      </w:r>
      <w:r w:rsidR="0037009A" w:rsidRPr="004601D7">
        <w:rPr>
          <w:rFonts w:cs="Times New Roman"/>
          <w:b/>
          <w:bCs/>
          <w:i/>
          <w:iCs/>
          <w:sz w:val="18"/>
          <w:szCs w:val="18"/>
          <w:u w:val="single"/>
        </w:rPr>
        <w:t xml:space="preserve">tables </w:t>
      </w:r>
      <w:r w:rsidRPr="004601D7">
        <w:rPr>
          <w:rFonts w:cs="Times New Roman"/>
          <w:b/>
          <w:bCs/>
          <w:i/>
          <w:iCs/>
          <w:sz w:val="18"/>
          <w:szCs w:val="18"/>
          <w:u w:val="single"/>
        </w:rPr>
        <w:t xml:space="preserve">in chapter </w:t>
      </w:r>
      <w:r w:rsidR="00C0209D" w:rsidRPr="004601D7">
        <w:rPr>
          <w:rFonts w:cs="Times New Roman" w:hint="cs"/>
          <w:b/>
          <w:bCs/>
          <w:i/>
          <w:iCs/>
          <w:sz w:val="18"/>
          <w:szCs w:val="18"/>
          <w:u w:val="single"/>
          <w:rtl/>
        </w:rPr>
        <w:t>1.11</w:t>
      </w:r>
      <w:r w:rsidRPr="004601D7">
        <w:rPr>
          <w:rFonts w:cs="Times New Roman"/>
          <w:b/>
          <w:bCs/>
          <w:i/>
          <w:iCs/>
          <w:sz w:val="18"/>
          <w:szCs w:val="18"/>
          <w:u w:val="single"/>
        </w:rPr>
        <w:t xml:space="preserve"> </w:t>
      </w:r>
      <w:r w:rsidR="00D9796F" w:rsidRPr="004601D7">
        <w:rPr>
          <w:rFonts w:cs="Times New Roman"/>
          <w:b/>
          <w:bCs/>
          <w:i/>
          <w:iCs/>
          <w:sz w:val="18"/>
          <w:szCs w:val="18"/>
          <w:u w:val="single"/>
        </w:rPr>
        <w:t>of the</w:t>
      </w:r>
      <w:r w:rsidRPr="004601D7">
        <w:rPr>
          <w:rFonts w:cs="Times New Roman"/>
          <w:b/>
          <w:bCs/>
          <w:i/>
          <w:iCs/>
          <w:sz w:val="18"/>
          <w:szCs w:val="18"/>
          <w:u w:val="single"/>
        </w:rPr>
        <w:t xml:space="preserve"> Ar</w:t>
      </w:r>
      <w:r w:rsidR="00D9796F" w:rsidRPr="004601D7">
        <w:rPr>
          <w:rFonts w:cs="Times New Roman"/>
          <w:b/>
          <w:bCs/>
          <w:i/>
          <w:iCs/>
          <w:sz w:val="18"/>
          <w:szCs w:val="18"/>
          <w:u w:val="single"/>
        </w:rPr>
        <w:t>a</w:t>
      </w:r>
      <w:r w:rsidRPr="004601D7">
        <w:rPr>
          <w:rFonts w:cs="Times New Roman"/>
          <w:b/>
          <w:bCs/>
          <w:i/>
          <w:iCs/>
          <w:sz w:val="18"/>
          <w:szCs w:val="18"/>
          <w:u w:val="single"/>
        </w:rPr>
        <w:t xml:space="preserve">bic </w:t>
      </w:r>
      <w:r w:rsidR="00D9796F" w:rsidRPr="004601D7">
        <w:rPr>
          <w:rFonts w:cs="Times New Roman"/>
          <w:b/>
          <w:bCs/>
          <w:i/>
          <w:iCs/>
          <w:sz w:val="18"/>
          <w:szCs w:val="18"/>
          <w:u w:val="single"/>
        </w:rPr>
        <w:t>section, p</w:t>
      </w:r>
      <w:r w:rsidRPr="004601D7">
        <w:rPr>
          <w:rFonts w:cs="Times New Roman"/>
          <w:b/>
          <w:bCs/>
          <w:i/>
          <w:iCs/>
          <w:sz w:val="18"/>
          <w:szCs w:val="18"/>
          <w:u w:val="single"/>
        </w:rPr>
        <w:t>age</w:t>
      </w:r>
      <w:r w:rsidR="00D9796F" w:rsidRPr="004601D7">
        <w:rPr>
          <w:rFonts w:cs="Times New Roman"/>
          <w:b/>
          <w:bCs/>
          <w:i/>
          <w:iCs/>
          <w:sz w:val="18"/>
          <w:szCs w:val="18"/>
          <w:u w:val="single"/>
        </w:rPr>
        <w:t>s</w:t>
      </w:r>
      <w:r w:rsidR="006A480D" w:rsidRPr="004601D7">
        <w:rPr>
          <w:rFonts w:cs="Times New Roman"/>
          <w:b/>
          <w:bCs/>
          <w:i/>
          <w:iCs/>
          <w:sz w:val="18"/>
          <w:szCs w:val="18"/>
          <w:u w:val="single"/>
        </w:rPr>
        <w:t xml:space="preserve"> </w:t>
      </w:r>
      <w:r w:rsidR="0015308F" w:rsidRPr="004601D7">
        <w:rPr>
          <w:rFonts w:cs="Times New Roman" w:hint="cs"/>
          <w:b/>
          <w:bCs/>
          <w:i/>
          <w:iCs/>
          <w:sz w:val="18"/>
          <w:szCs w:val="18"/>
          <w:u w:val="single"/>
          <w:rtl/>
        </w:rPr>
        <w:t>1</w:t>
      </w:r>
      <w:r w:rsidR="001A0F85" w:rsidRPr="004601D7">
        <w:rPr>
          <w:rFonts w:cs="Times New Roman"/>
          <w:b/>
          <w:bCs/>
          <w:i/>
          <w:iCs/>
          <w:sz w:val="18"/>
          <w:szCs w:val="18"/>
          <w:u w:val="single"/>
        </w:rPr>
        <w:t>17</w:t>
      </w:r>
      <w:r w:rsidR="006A480D" w:rsidRPr="004601D7">
        <w:rPr>
          <w:rFonts w:cs="Times New Roman"/>
          <w:b/>
          <w:bCs/>
          <w:i/>
          <w:iCs/>
          <w:sz w:val="18"/>
          <w:szCs w:val="18"/>
          <w:u w:val="single"/>
        </w:rPr>
        <w:t>-</w:t>
      </w:r>
      <w:r w:rsidR="0015308F" w:rsidRPr="004601D7">
        <w:rPr>
          <w:rFonts w:cs="Times New Roman" w:hint="cs"/>
          <w:b/>
          <w:bCs/>
          <w:i/>
          <w:iCs/>
          <w:sz w:val="18"/>
          <w:szCs w:val="18"/>
          <w:u w:val="single"/>
          <w:rtl/>
        </w:rPr>
        <w:t>1</w:t>
      </w:r>
      <w:r w:rsidR="001A0F85" w:rsidRPr="004601D7">
        <w:rPr>
          <w:rFonts w:cs="Times New Roman"/>
          <w:b/>
          <w:bCs/>
          <w:i/>
          <w:iCs/>
          <w:sz w:val="18"/>
          <w:szCs w:val="18"/>
          <w:u w:val="single"/>
        </w:rPr>
        <w:t>2</w:t>
      </w:r>
      <w:r w:rsidR="00912D4D">
        <w:rPr>
          <w:rFonts w:cs="Times New Roman"/>
          <w:b/>
          <w:bCs/>
          <w:i/>
          <w:iCs/>
          <w:sz w:val="18"/>
          <w:szCs w:val="18"/>
          <w:u w:val="single"/>
        </w:rPr>
        <w:t>4</w:t>
      </w:r>
      <w:r w:rsidR="00D9796F" w:rsidRPr="004601D7">
        <w:rPr>
          <w:rFonts w:cs="Times New Roman"/>
          <w:b/>
          <w:bCs/>
          <w:i/>
          <w:iCs/>
          <w:sz w:val="18"/>
          <w:szCs w:val="18"/>
          <w:u w:val="single"/>
        </w:rPr>
        <w:t>.</w:t>
      </w:r>
    </w:p>
    <w:p w:rsidR="00604E41" w:rsidRDefault="00604E41" w:rsidP="00604E41">
      <w:pPr>
        <w:pStyle w:val="ListParagraph"/>
        <w:bidi w:val="0"/>
        <w:ind w:left="0"/>
        <w:jc w:val="lowKashida"/>
        <w:rPr>
          <w:rFonts w:cs="Times New Roman"/>
          <w:b/>
          <w:bCs/>
          <w:i/>
          <w:iCs/>
          <w:sz w:val="18"/>
          <w:szCs w:val="18"/>
          <w:u w:val="single"/>
        </w:rPr>
      </w:pPr>
    </w:p>
    <w:p w:rsidR="00912D4D" w:rsidRDefault="00912D4D" w:rsidP="00912D4D">
      <w:pPr>
        <w:pStyle w:val="ListParagraph"/>
        <w:bidi w:val="0"/>
        <w:ind w:left="0"/>
        <w:jc w:val="lowKashida"/>
        <w:rPr>
          <w:rFonts w:cs="Times New Roman"/>
          <w:b/>
          <w:bCs/>
          <w:i/>
          <w:iCs/>
          <w:sz w:val="18"/>
          <w:szCs w:val="18"/>
          <w:u w:val="single"/>
        </w:rPr>
      </w:pPr>
    </w:p>
    <w:p w:rsidR="00912D4D" w:rsidRPr="004601D7" w:rsidRDefault="00912D4D" w:rsidP="00912D4D">
      <w:pPr>
        <w:pStyle w:val="ListParagraph"/>
        <w:bidi w:val="0"/>
        <w:ind w:left="0"/>
        <w:jc w:val="lowKashida"/>
        <w:rPr>
          <w:rFonts w:cs="Times New Roman"/>
          <w:b/>
          <w:bCs/>
          <w:i/>
          <w:iCs/>
          <w:sz w:val="18"/>
          <w:szCs w:val="18"/>
          <w:u w:val="single"/>
        </w:rPr>
      </w:pPr>
    </w:p>
    <w:p w:rsidR="001851F6" w:rsidRPr="004601D7" w:rsidRDefault="001851F6" w:rsidP="001851F6">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lastRenderedPageBreak/>
        <w:t xml:space="preserve">Security and Justice                               </w:t>
      </w:r>
    </w:p>
    <w:p w:rsidR="00892754" w:rsidRPr="004601D7" w:rsidRDefault="00892754" w:rsidP="00F10B85">
      <w:pPr>
        <w:pStyle w:val="BodyText2"/>
        <w:numPr>
          <w:ilvl w:val="0"/>
          <w:numId w:val="2"/>
        </w:numPr>
        <w:overflowPunct/>
        <w:autoSpaceDE/>
        <w:autoSpaceDN/>
        <w:adjustRightInd/>
        <w:spacing w:after="120"/>
        <w:textAlignment w:val="auto"/>
        <w:rPr>
          <w:noProof/>
        </w:rPr>
      </w:pPr>
      <w:r w:rsidRPr="004601D7">
        <w:rPr>
          <w:noProof/>
        </w:rPr>
        <w:t xml:space="preserve">Criminal offenses reported: There were </w:t>
      </w:r>
      <w:r w:rsidRPr="004601D7">
        <w:rPr>
          <w:rFonts w:hint="cs"/>
          <w:noProof/>
          <w:rtl/>
        </w:rPr>
        <w:t>32</w:t>
      </w:r>
      <w:r w:rsidRPr="004601D7">
        <w:rPr>
          <w:noProof/>
        </w:rPr>
        <w:t>,</w:t>
      </w:r>
      <w:r w:rsidRPr="004601D7">
        <w:rPr>
          <w:rFonts w:hint="cs"/>
          <w:noProof/>
          <w:rtl/>
        </w:rPr>
        <w:t>267</w:t>
      </w:r>
      <w:r w:rsidRPr="004601D7">
        <w:rPr>
          <w:noProof/>
        </w:rPr>
        <w:t xml:space="preserve"> criminal offenses reported in </w:t>
      </w:r>
      <w:r w:rsidRPr="004601D7">
        <w:rPr>
          <w:rFonts w:hint="cs"/>
          <w:noProof/>
          <w:rtl/>
        </w:rPr>
        <w:t>2019</w:t>
      </w:r>
      <w:r w:rsidRPr="004601D7">
        <w:rPr>
          <w:noProof/>
        </w:rPr>
        <w:t xml:space="preserve"> in the West Bank.</w:t>
      </w:r>
    </w:p>
    <w:p w:rsidR="00892754" w:rsidRPr="004601D7" w:rsidRDefault="00892754" w:rsidP="00B21BC2">
      <w:pPr>
        <w:pStyle w:val="BodyText2"/>
        <w:numPr>
          <w:ilvl w:val="0"/>
          <w:numId w:val="2"/>
        </w:numPr>
        <w:overflowPunct/>
        <w:autoSpaceDE/>
        <w:autoSpaceDN/>
        <w:adjustRightInd/>
        <w:spacing w:after="120"/>
        <w:textAlignment w:val="auto"/>
        <w:rPr>
          <w:noProof/>
        </w:rPr>
      </w:pPr>
      <w:r w:rsidRPr="004601D7">
        <w:rPr>
          <w:noProof/>
        </w:rPr>
        <w:t xml:space="preserve">The criminal offenses reported in the West Bank governorates in </w:t>
      </w:r>
      <w:r w:rsidRPr="004601D7">
        <w:rPr>
          <w:rFonts w:hint="cs"/>
          <w:noProof/>
          <w:rtl/>
        </w:rPr>
        <w:t>2019</w:t>
      </w:r>
      <w:r w:rsidRPr="004601D7">
        <w:rPr>
          <w:noProof/>
        </w:rPr>
        <w:t xml:space="preserve"> included assault (</w:t>
      </w:r>
      <w:r w:rsidRPr="004601D7">
        <w:rPr>
          <w:rFonts w:hint="cs"/>
          <w:noProof/>
          <w:rtl/>
        </w:rPr>
        <w:t>27</w:t>
      </w:r>
      <w:r w:rsidRPr="004601D7">
        <w:rPr>
          <w:noProof/>
        </w:rPr>
        <w:t>.</w:t>
      </w:r>
      <w:r w:rsidRPr="004601D7">
        <w:rPr>
          <w:rFonts w:hint="cs"/>
          <w:noProof/>
          <w:rtl/>
        </w:rPr>
        <w:t>9</w:t>
      </w:r>
      <w:r w:rsidR="00BA27DA" w:rsidRPr="004601D7">
        <w:rPr>
          <w:noProof/>
        </w:rPr>
        <w:t>%)</w:t>
      </w:r>
      <w:r w:rsidRPr="004601D7">
        <w:rPr>
          <w:noProof/>
        </w:rPr>
        <w:t>, Using or Trading Narcotic Drugs (6.2</w:t>
      </w:r>
      <w:r w:rsidR="009E41DA" w:rsidRPr="004601D7">
        <w:rPr>
          <w:noProof/>
        </w:rPr>
        <w:t>%</w:t>
      </w:r>
      <w:r w:rsidRPr="004601D7">
        <w:rPr>
          <w:noProof/>
        </w:rPr>
        <w:t>), harming and immoral offenses (</w:t>
      </w:r>
      <w:r w:rsidRPr="004601D7">
        <w:rPr>
          <w:rFonts w:hint="cs"/>
          <w:noProof/>
          <w:rtl/>
        </w:rPr>
        <w:t>9</w:t>
      </w:r>
      <w:r w:rsidRPr="004601D7">
        <w:rPr>
          <w:noProof/>
        </w:rPr>
        <w:t>.4</w:t>
      </w:r>
      <w:r w:rsidRPr="004601D7">
        <w:rPr>
          <w:noProof/>
          <w:rtl/>
        </w:rPr>
        <w:t>%</w:t>
      </w:r>
      <w:r w:rsidRPr="004601D7">
        <w:rPr>
          <w:noProof/>
        </w:rPr>
        <w:t>), theft (</w:t>
      </w:r>
      <w:r w:rsidRPr="004601D7">
        <w:rPr>
          <w:rFonts w:hint="cs"/>
          <w:noProof/>
          <w:rtl/>
        </w:rPr>
        <w:t>11.1</w:t>
      </w:r>
      <w:r w:rsidRPr="004601D7">
        <w:rPr>
          <w:noProof/>
          <w:rtl/>
        </w:rPr>
        <w:t>%</w:t>
      </w:r>
      <w:r w:rsidRPr="004601D7">
        <w:rPr>
          <w:noProof/>
        </w:rPr>
        <w:t>), attack on private and public property (</w:t>
      </w:r>
      <w:r w:rsidRPr="004601D7">
        <w:rPr>
          <w:rFonts w:hint="cs"/>
          <w:noProof/>
          <w:rtl/>
        </w:rPr>
        <w:t>10</w:t>
      </w:r>
      <w:r w:rsidRPr="004601D7">
        <w:rPr>
          <w:noProof/>
        </w:rPr>
        <w:t>.4</w:t>
      </w:r>
      <w:r w:rsidRPr="004601D7">
        <w:rPr>
          <w:noProof/>
          <w:rtl/>
        </w:rPr>
        <w:t>%</w:t>
      </w:r>
      <w:r w:rsidRPr="004601D7">
        <w:rPr>
          <w:noProof/>
        </w:rPr>
        <w:t>), and the remainder were kidnapping, attempted kidnapping, arson and murder.</w:t>
      </w:r>
    </w:p>
    <w:p w:rsidR="0023073A" w:rsidRPr="004601D7" w:rsidRDefault="0023073A" w:rsidP="00892754">
      <w:pPr>
        <w:jc w:val="center"/>
        <w:rPr>
          <w:b/>
          <w:bCs/>
          <w:sz w:val="18"/>
          <w:szCs w:val="18"/>
        </w:rPr>
      </w:pPr>
    </w:p>
    <w:p w:rsidR="00892754" w:rsidRPr="004601D7" w:rsidRDefault="00892754" w:rsidP="00892754">
      <w:pPr>
        <w:jc w:val="center"/>
        <w:rPr>
          <w:b/>
          <w:bCs/>
          <w:sz w:val="18"/>
          <w:szCs w:val="18"/>
        </w:rPr>
      </w:pPr>
      <w:r w:rsidRPr="004601D7">
        <w:rPr>
          <w:b/>
          <w:bCs/>
          <w:sz w:val="18"/>
          <w:szCs w:val="18"/>
        </w:rPr>
        <w:t>Number of Reported Criminal Offenses in the West Bank* by Governorate, 2019</w:t>
      </w:r>
    </w:p>
    <w:p w:rsidR="00892754" w:rsidRPr="004601D7" w:rsidRDefault="00892754" w:rsidP="00892754">
      <w:pPr>
        <w:jc w:val="center"/>
        <w:rPr>
          <w:b/>
          <w:bCs/>
          <w:sz w:val="10"/>
          <w:szCs w:val="10"/>
          <w:rtl/>
        </w:rPr>
      </w:pPr>
    </w:p>
    <w:tbl>
      <w:tblPr>
        <w:tblStyle w:val="TableGrid"/>
        <w:tblW w:w="0" w:type="auto"/>
        <w:tblLook w:val="04A0" w:firstRow="1" w:lastRow="0" w:firstColumn="1" w:lastColumn="0" w:noHBand="0" w:noVBand="1"/>
      </w:tblPr>
      <w:tblGrid>
        <w:gridCol w:w="7587"/>
      </w:tblGrid>
      <w:tr w:rsidR="004601D7" w:rsidRPr="004601D7" w:rsidTr="0023073A">
        <w:tc>
          <w:tcPr>
            <w:tcW w:w="7587" w:type="dxa"/>
          </w:tcPr>
          <w:p w:rsidR="0023073A" w:rsidRPr="004601D7" w:rsidRDefault="0023073A" w:rsidP="00F01CF3">
            <w:pPr>
              <w:pStyle w:val="BodyText2"/>
              <w:jc w:val="center"/>
              <w:rPr>
                <w:sz w:val="16"/>
                <w:szCs w:val="16"/>
                <w:rtl/>
              </w:rPr>
            </w:pPr>
            <w:r w:rsidRPr="004601D7">
              <w:rPr>
                <w:rFonts w:ascii="Simplified Arabic" w:hAnsi="Simplified Arabic"/>
                <w:b/>
                <w:bCs/>
                <w:noProof/>
                <w:sz w:val="18"/>
                <w:szCs w:val="18"/>
              </w:rPr>
              <w:drawing>
                <wp:inline distT="0" distB="0" distL="0" distR="0" wp14:anchorId="35ABAB08" wp14:editId="15CD2455">
                  <wp:extent cx="4800600" cy="1835150"/>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892754" w:rsidRPr="004601D7" w:rsidRDefault="00892754" w:rsidP="003D7286">
      <w:pPr>
        <w:tabs>
          <w:tab w:val="right" w:pos="70"/>
        </w:tabs>
        <w:ind w:left="98" w:right="112" w:firstLine="14"/>
        <w:jc w:val="lowKashida"/>
        <w:rPr>
          <w:sz w:val="14"/>
          <w:szCs w:val="14"/>
        </w:rPr>
      </w:pPr>
      <w:r w:rsidRPr="004601D7">
        <w:rPr>
          <w:sz w:val="14"/>
          <w:szCs w:val="14"/>
        </w:rPr>
        <w:t>*</w:t>
      </w:r>
      <w:r w:rsidRPr="004601D7">
        <w:rPr>
          <w:rFonts w:ascii="Arial" w:hAnsi="Arial" w:cs="Arial"/>
          <w:sz w:val="14"/>
          <w:szCs w:val="14"/>
        </w:rPr>
        <w:t xml:space="preserve"> </w:t>
      </w:r>
      <w:r w:rsidR="003D7286" w:rsidRPr="004601D7">
        <w:rPr>
          <w:rFonts w:ascii="Arial" w:hAnsi="Arial" w:cs="Arial"/>
          <w:sz w:val="14"/>
          <w:szCs w:val="14"/>
        </w:rPr>
        <w:t>Data exclude those parts of Jerusalem which were annexed by Israel Occupation in 1967.</w:t>
      </w:r>
    </w:p>
    <w:p w:rsidR="00892754" w:rsidRPr="004601D7" w:rsidRDefault="00892754" w:rsidP="00892754">
      <w:pPr>
        <w:pStyle w:val="BodyText"/>
        <w:overflowPunct/>
        <w:autoSpaceDE/>
        <w:autoSpaceDN/>
        <w:adjustRightInd/>
        <w:ind w:left="360"/>
        <w:jc w:val="lowKashida"/>
        <w:textAlignment w:val="auto"/>
        <w:rPr>
          <w:rFonts w:cs="Times New Roman"/>
        </w:rPr>
      </w:pPr>
    </w:p>
    <w:p w:rsidR="00892754" w:rsidRPr="004601D7" w:rsidRDefault="00892754" w:rsidP="00F10B85">
      <w:pPr>
        <w:pStyle w:val="BodyText2"/>
        <w:numPr>
          <w:ilvl w:val="0"/>
          <w:numId w:val="2"/>
        </w:numPr>
        <w:overflowPunct/>
        <w:autoSpaceDE/>
        <w:autoSpaceDN/>
        <w:adjustRightInd/>
        <w:spacing w:after="120"/>
        <w:ind w:left="266" w:hanging="266"/>
        <w:textAlignment w:val="auto"/>
        <w:rPr>
          <w:noProof/>
        </w:rPr>
      </w:pPr>
      <w:r w:rsidRPr="004601D7">
        <w:rPr>
          <w:noProof/>
        </w:rPr>
        <w:t xml:space="preserve">Juvenile offenders: There were 1,738 juvenile offenders admitted to reform institutions in Palestine in </w:t>
      </w:r>
      <w:r w:rsidR="00F10B85" w:rsidRPr="004601D7">
        <w:rPr>
          <w:noProof/>
        </w:rPr>
        <w:t>2019</w:t>
      </w:r>
      <w:r w:rsidRPr="004601D7">
        <w:rPr>
          <w:noProof/>
        </w:rPr>
        <w:t>; 271 in the West Bank and 1,467 in Gaza Strip. The criminal offenses committed by those juveniles comprised 347 cases of assault, 785</w:t>
      </w:r>
      <w:r w:rsidRPr="004601D7">
        <w:rPr>
          <w:noProof/>
          <w:rtl/>
        </w:rPr>
        <w:t xml:space="preserve"> </w:t>
      </w:r>
      <w:r w:rsidRPr="004601D7">
        <w:rPr>
          <w:noProof/>
        </w:rPr>
        <w:t xml:space="preserve">cases of burglary and theft, </w:t>
      </w:r>
      <w:r w:rsidR="009E41DA" w:rsidRPr="004601D7">
        <w:rPr>
          <w:noProof/>
        </w:rPr>
        <w:t xml:space="preserve">347 cases of assault, </w:t>
      </w:r>
      <w:r w:rsidRPr="004601D7">
        <w:rPr>
          <w:noProof/>
        </w:rPr>
        <w:t>135 cases of drugs, and 93 cases of immoral offenses. The remainder criminal offenses were distributed on cases of the property of others and against public order and other crimes.</w:t>
      </w:r>
    </w:p>
    <w:p w:rsidR="00892754" w:rsidRPr="004601D7" w:rsidRDefault="00892754" w:rsidP="00493687">
      <w:pPr>
        <w:pStyle w:val="BodyText2"/>
        <w:numPr>
          <w:ilvl w:val="0"/>
          <w:numId w:val="2"/>
        </w:numPr>
        <w:overflowPunct/>
        <w:autoSpaceDE/>
        <w:autoSpaceDN/>
        <w:adjustRightInd/>
        <w:ind w:left="266" w:hanging="266"/>
        <w:textAlignment w:val="auto"/>
        <w:rPr>
          <w:noProof/>
        </w:rPr>
      </w:pPr>
      <w:r w:rsidRPr="004601D7">
        <w:rPr>
          <w:noProof/>
        </w:rPr>
        <w:t xml:space="preserve">Road traffic accidents: (Data excludes those parts of Jerusalem which were annexed by Israel Occupation in 1967). Thus,  there were </w:t>
      </w:r>
      <w:r w:rsidRPr="004601D7">
        <w:rPr>
          <w:rFonts w:hint="cs"/>
          <w:noProof/>
          <w:rtl/>
        </w:rPr>
        <w:t>13</w:t>
      </w:r>
      <w:r w:rsidRPr="004601D7">
        <w:rPr>
          <w:noProof/>
        </w:rPr>
        <w:t>,</w:t>
      </w:r>
      <w:r w:rsidRPr="004601D7">
        <w:rPr>
          <w:rFonts w:hint="cs"/>
          <w:noProof/>
          <w:rtl/>
        </w:rPr>
        <w:t>165</w:t>
      </w:r>
      <w:r w:rsidRPr="004601D7">
        <w:rPr>
          <w:noProof/>
        </w:rPr>
        <w:t xml:space="preserve"> road traffic accidents in the West Bank</w:t>
      </w:r>
      <w:r w:rsidR="00493687" w:rsidRPr="004601D7">
        <w:rPr>
          <w:noProof/>
        </w:rPr>
        <w:t xml:space="preserve"> </w:t>
      </w:r>
      <w:r w:rsidRPr="004601D7">
        <w:rPr>
          <w:noProof/>
        </w:rPr>
        <w:t>in</w:t>
      </w:r>
      <w:r w:rsidR="00F4495C" w:rsidRPr="004601D7">
        <w:rPr>
          <w:noProof/>
        </w:rPr>
        <w:t xml:space="preserve"> 2019.</w:t>
      </w:r>
    </w:p>
    <w:p w:rsidR="00892754" w:rsidRPr="004601D7" w:rsidRDefault="00892754" w:rsidP="005A5BFA">
      <w:pPr>
        <w:pStyle w:val="BodyText2"/>
        <w:numPr>
          <w:ilvl w:val="0"/>
          <w:numId w:val="2"/>
        </w:numPr>
        <w:overflowPunct/>
        <w:autoSpaceDE/>
        <w:autoSpaceDN/>
        <w:adjustRightInd/>
        <w:ind w:left="266" w:hanging="266"/>
        <w:textAlignment w:val="auto"/>
        <w:rPr>
          <w:noProof/>
        </w:rPr>
      </w:pPr>
      <w:r w:rsidRPr="004601D7">
        <w:rPr>
          <w:noProof/>
        </w:rPr>
        <w:t xml:space="preserve">There were </w:t>
      </w:r>
      <w:r w:rsidRPr="004601D7">
        <w:rPr>
          <w:rFonts w:hint="cs"/>
          <w:noProof/>
          <w:rtl/>
        </w:rPr>
        <w:t>10</w:t>
      </w:r>
      <w:r w:rsidRPr="004601D7">
        <w:rPr>
          <w:noProof/>
        </w:rPr>
        <w:t>,</w:t>
      </w:r>
      <w:r w:rsidRPr="004601D7">
        <w:rPr>
          <w:rFonts w:hint="cs"/>
          <w:noProof/>
          <w:rtl/>
        </w:rPr>
        <w:t>968</w:t>
      </w:r>
      <w:r w:rsidRPr="004601D7">
        <w:rPr>
          <w:noProof/>
        </w:rPr>
        <w:t xml:space="preserve"> injuries caused by road accidents as follows: </w:t>
      </w:r>
      <w:r w:rsidRPr="004601D7">
        <w:rPr>
          <w:rFonts w:hint="cs"/>
          <w:noProof/>
          <w:rtl/>
        </w:rPr>
        <w:t>9</w:t>
      </w:r>
      <w:r w:rsidRPr="004601D7">
        <w:rPr>
          <w:noProof/>
        </w:rPr>
        <w:t>,</w:t>
      </w:r>
      <w:r w:rsidRPr="004601D7">
        <w:rPr>
          <w:rFonts w:hint="cs"/>
          <w:noProof/>
          <w:rtl/>
        </w:rPr>
        <w:t>937</w:t>
      </w:r>
      <w:r w:rsidRPr="004601D7">
        <w:rPr>
          <w:noProof/>
        </w:rPr>
        <w:t xml:space="preserve"> mild Injured, </w:t>
      </w:r>
      <w:r w:rsidRPr="004601D7">
        <w:rPr>
          <w:rFonts w:hint="cs"/>
          <w:noProof/>
          <w:rtl/>
        </w:rPr>
        <w:t>757</w:t>
      </w:r>
      <w:r w:rsidRPr="004601D7">
        <w:rPr>
          <w:noProof/>
        </w:rPr>
        <w:t xml:space="preserve"> moderate Injured, 152 seriously Injured and </w:t>
      </w:r>
      <w:r w:rsidRPr="004601D7">
        <w:rPr>
          <w:rFonts w:hint="cs"/>
          <w:noProof/>
          <w:rtl/>
        </w:rPr>
        <w:t>122</w:t>
      </w:r>
      <w:r w:rsidRPr="004601D7">
        <w:rPr>
          <w:noProof/>
        </w:rPr>
        <w:t xml:space="preserve"> fatally Injured.</w:t>
      </w:r>
    </w:p>
    <w:p w:rsidR="00493687" w:rsidRPr="004601D7" w:rsidRDefault="00493687" w:rsidP="00493687">
      <w:pPr>
        <w:pStyle w:val="BodyText2"/>
        <w:overflowPunct/>
        <w:autoSpaceDE/>
        <w:autoSpaceDN/>
        <w:adjustRightInd/>
        <w:ind w:left="266"/>
        <w:textAlignment w:val="auto"/>
        <w:rPr>
          <w:noProof/>
        </w:rPr>
      </w:pPr>
    </w:p>
    <w:p w:rsidR="00C0209D" w:rsidRPr="004601D7" w:rsidRDefault="00EE63BF" w:rsidP="00912D4D">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security and justice, see the tables in chapter 1.12 of the Arabic section, pages</w:t>
      </w:r>
      <w:r w:rsidRPr="004601D7">
        <w:rPr>
          <w:rFonts w:cs="Times New Roman"/>
          <w:b/>
          <w:bCs/>
          <w:i/>
          <w:iCs/>
          <w:sz w:val="18"/>
          <w:szCs w:val="18"/>
          <w:u w:val="single"/>
          <w:rtl/>
        </w:rPr>
        <w:t xml:space="preserve"> </w:t>
      </w:r>
      <w:r w:rsidR="00912D4D">
        <w:rPr>
          <w:rFonts w:cs="Times New Roman"/>
          <w:b/>
          <w:bCs/>
          <w:i/>
          <w:iCs/>
          <w:sz w:val="18"/>
          <w:szCs w:val="18"/>
          <w:u w:val="single"/>
        </w:rPr>
        <w:t>125</w:t>
      </w:r>
      <w:r w:rsidRPr="004601D7">
        <w:rPr>
          <w:rFonts w:cs="Times New Roman"/>
          <w:b/>
          <w:bCs/>
          <w:i/>
          <w:iCs/>
          <w:sz w:val="18"/>
          <w:szCs w:val="18"/>
          <w:u w:val="single"/>
        </w:rPr>
        <w:t>-</w:t>
      </w:r>
      <w:r w:rsidR="00912D4D">
        <w:rPr>
          <w:rFonts w:cs="Times New Roman"/>
          <w:b/>
          <w:bCs/>
          <w:i/>
          <w:iCs/>
          <w:sz w:val="18"/>
          <w:szCs w:val="18"/>
          <w:u w:val="single"/>
        </w:rPr>
        <w:t>132</w:t>
      </w:r>
      <w:r w:rsidRPr="004601D7">
        <w:rPr>
          <w:rFonts w:cs="Times New Roman"/>
          <w:b/>
          <w:bCs/>
          <w:i/>
          <w:iCs/>
          <w:sz w:val="18"/>
          <w:szCs w:val="18"/>
          <w:u w:val="single"/>
        </w:rPr>
        <w:t>.</w:t>
      </w:r>
    </w:p>
    <w:p w:rsidR="00C0209D" w:rsidRPr="004601D7" w:rsidRDefault="00C0209D" w:rsidP="005A5BFA">
      <w:pPr>
        <w:pStyle w:val="ListParagraph"/>
        <w:bidi w:val="0"/>
        <w:ind w:left="0"/>
        <w:rPr>
          <w:sz w:val="20"/>
          <w:szCs w:val="16"/>
        </w:rPr>
      </w:pPr>
    </w:p>
    <w:p w:rsidR="00020126" w:rsidRPr="004601D7" w:rsidRDefault="00020126" w:rsidP="005A5BFA">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 xml:space="preserve">Environment and Natural Resources  </w:t>
      </w:r>
    </w:p>
    <w:p w:rsidR="0026040C" w:rsidRPr="004601D7" w:rsidRDefault="0026040C" w:rsidP="005A5BFA">
      <w:pPr>
        <w:pStyle w:val="BodyText2"/>
        <w:numPr>
          <w:ilvl w:val="0"/>
          <w:numId w:val="2"/>
        </w:numPr>
        <w:overflowPunct/>
        <w:autoSpaceDE/>
        <w:autoSpaceDN/>
        <w:adjustRightInd/>
        <w:ind w:left="266" w:hanging="266"/>
        <w:textAlignment w:val="auto"/>
        <w:rPr>
          <w:noProof/>
        </w:rPr>
      </w:pPr>
      <w:r w:rsidRPr="004601D7">
        <w:rPr>
          <w:noProof/>
        </w:rPr>
        <w:t xml:space="preserve">The quantity of annual available water in </w:t>
      </w:r>
      <w:r w:rsidRPr="004601D7">
        <w:rPr>
          <w:rFonts w:hint="cs"/>
          <w:noProof/>
          <w:rtl/>
        </w:rPr>
        <w:t>201</w:t>
      </w:r>
      <w:r w:rsidRPr="004601D7">
        <w:rPr>
          <w:noProof/>
        </w:rPr>
        <w:t>8 was 398.3 MCM, of which 286.7 MCM was pumped from water pumped from Palestinian wells, 82 MCM was purchased from the Israeli Mekorot water company, and 25.5 MCM was discharged from water springs.</w:t>
      </w:r>
    </w:p>
    <w:p w:rsidR="00377785" w:rsidRDefault="00377785" w:rsidP="005A5BFA">
      <w:pPr>
        <w:pStyle w:val="BodyText2"/>
        <w:numPr>
          <w:ilvl w:val="0"/>
          <w:numId w:val="2"/>
        </w:numPr>
        <w:overflowPunct/>
        <w:autoSpaceDE/>
        <w:autoSpaceDN/>
        <w:adjustRightInd/>
        <w:ind w:left="266" w:hanging="266"/>
        <w:textAlignment w:val="auto"/>
        <w:rPr>
          <w:noProof/>
        </w:rPr>
      </w:pPr>
      <w:r w:rsidRPr="004601D7">
        <w:rPr>
          <w:noProof/>
        </w:rPr>
        <w:t xml:space="preserve">The highest amount of annual rainfall in </w:t>
      </w:r>
      <w:r w:rsidR="00F4495C" w:rsidRPr="004601D7">
        <w:rPr>
          <w:noProof/>
        </w:rPr>
        <w:t>Nablus</w:t>
      </w:r>
      <w:r w:rsidRPr="004601D7">
        <w:rPr>
          <w:noProof/>
        </w:rPr>
        <w:t xml:space="preserve"> station was </w:t>
      </w:r>
      <w:r w:rsidR="00F4495C" w:rsidRPr="004601D7">
        <w:rPr>
          <w:noProof/>
        </w:rPr>
        <w:t>780</w:t>
      </w:r>
      <w:r w:rsidRPr="004601D7">
        <w:rPr>
          <w:noProof/>
        </w:rPr>
        <w:t xml:space="preserve"> (mm) in </w:t>
      </w:r>
      <w:r w:rsidR="00F4495C" w:rsidRPr="004601D7">
        <w:rPr>
          <w:noProof/>
        </w:rPr>
        <w:t>2019</w:t>
      </w:r>
      <w:r w:rsidRPr="004601D7">
        <w:rPr>
          <w:noProof/>
        </w:rPr>
        <w:t>.</w:t>
      </w:r>
    </w:p>
    <w:p w:rsidR="00454517" w:rsidRDefault="00454517" w:rsidP="00454517">
      <w:pPr>
        <w:pStyle w:val="BodyText2"/>
        <w:overflowPunct/>
        <w:autoSpaceDE/>
        <w:autoSpaceDN/>
        <w:adjustRightInd/>
        <w:textAlignment w:val="auto"/>
        <w:rPr>
          <w:noProof/>
        </w:rPr>
      </w:pPr>
    </w:p>
    <w:p w:rsidR="00454517" w:rsidRDefault="00454517" w:rsidP="00454517">
      <w:pPr>
        <w:pStyle w:val="BodyText2"/>
        <w:overflowPunct/>
        <w:autoSpaceDE/>
        <w:autoSpaceDN/>
        <w:adjustRightInd/>
        <w:textAlignment w:val="auto"/>
        <w:rPr>
          <w:noProof/>
        </w:rPr>
      </w:pPr>
    </w:p>
    <w:p w:rsidR="00454517" w:rsidRDefault="00454517" w:rsidP="00454517">
      <w:pPr>
        <w:pStyle w:val="BodyText2"/>
        <w:overflowPunct/>
        <w:autoSpaceDE/>
        <w:autoSpaceDN/>
        <w:adjustRightInd/>
        <w:textAlignment w:val="auto"/>
        <w:rPr>
          <w:noProof/>
        </w:rPr>
      </w:pPr>
    </w:p>
    <w:p w:rsidR="00454517" w:rsidRDefault="00454517" w:rsidP="00454517">
      <w:pPr>
        <w:pStyle w:val="BodyText2"/>
        <w:overflowPunct/>
        <w:autoSpaceDE/>
        <w:autoSpaceDN/>
        <w:adjustRightInd/>
        <w:textAlignment w:val="auto"/>
        <w:rPr>
          <w:noProof/>
        </w:rPr>
      </w:pPr>
    </w:p>
    <w:p w:rsidR="00454517" w:rsidRDefault="00454517" w:rsidP="00454517">
      <w:pPr>
        <w:pStyle w:val="BodyText2"/>
        <w:overflowPunct/>
        <w:autoSpaceDE/>
        <w:autoSpaceDN/>
        <w:adjustRightInd/>
        <w:textAlignment w:val="auto"/>
        <w:rPr>
          <w:noProof/>
        </w:rPr>
      </w:pPr>
    </w:p>
    <w:p w:rsidR="00454517" w:rsidRPr="004601D7" w:rsidRDefault="00454517" w:rsidP="00454517">
      <w:pPr>
        <w:pStyle w:val="BodyText2"/>
        <w:overflowPunct/>
        <w:autoSpaceDE/>
        <w:autoSpaceDN/>
        <w:adjustRightInd/>
        <w:textAlignment w:val="auto"/>
        <w:rPr>
          <w:noProof/>
        </w:rPr>
      </w:pPr>
    </w:p>
    <w:p w:rsidR="00EE63BF" w:rsidRPr="004601D7" w:rsidRDefault="00EE63BF">
      <w:pPr>
        <w:overflowPunct/>
        <w:autoSpaceDE/>
        <w:autoSpaceDN/>
        <w:adjustRightInd/>
        <w:textAlignment w:val="auto"/>
        <w:rPr>
          <w:b/>
          <w:bCs/>
          <w:sz w:val="18"/>
          <w:szCs w:val="18"/>
        </w:rPr>
      </w:pPr>
    </w:p>
    <w:p w:rsidR="0026040C" w:rsidRPr="004601D7" w:rsidRDefault="0026040C" w:rsidP="0026040C">
      <w:pPr>
        <w:overflowPunct/>
        <w:autoSpaceDE/>
        <w:autoSpaceDN/>
        <w:adjustRightInd/>
        <w:jc w:val="center"/>
        <w:textAlignment w:val="auto"/>
        <w:rPr>
          <w:b/>
          <w:bCs/>
          <w:sz w:val="18"/>
          <w:szCs w:val="18"/>
        </w:rPr>
      </w:pPr>
      <w:r w:rsidRPr="004601D7">
        <w:rPr>
          <w:b/>
          <w:bCs/>
          <w:sz w:val="18"/>
          <w:szCs w:val="18"/>
        </w:rPr>
        <w:t>Annual Rainfall Quantity (mm) in the West Bank by Station Location, 2019</w:t>
      </w:r>
    </w:p>
    <w:p w:rsidR="0026040C" w:rsidRPr="004601D7" w:rsidRDefault="0026040C" w:rsidP="0026040C">
      <w:pPr>
        <w:pStyle w:val="BodyText3"/>
        <w:jc w:val="center"/>
        <w:rPr>
          <w:rFonts w:ascii="Arial" w:hAnsi="Arial" w:cs="Arial"/>
          <w:sz w:val="10"/>
          <w:szCs w:val="10"/>
          <w:rtl/>
        </w:rPr>
      </w:pPr>
    </w:p>
    <w:tbl>
      <w:tblPr>
        <w:tblStyle w:val="TableGrid"/>
        <w:tblW w:w="0" w:type="auto"/>
        <w:jc w:val="center"/>
        <w:tblLook w:val="04A0" w:firstRow="1" w:lastRow="0" w:firstColumn="1" w:lastColumn="0" w:noHBand="0" w:noVBand="1"/>
      </w:tblPr>
      <w:tblGrid>
        <w:gridCol w:w="7146"/>
      </w:tblGrid>
      <w:tr w:rsidR="005A5BFA" w:rsidRPr="004601D7" w:rsidTr="00D33180">
        <w:trPr>
          <w:jc w:val="center"/>
        </w:trPr>
        <w:tc>
          <w:tcPr>
            <w:tcW w:w="6769" w:type="dxa"/>
          </w:tcPr>
          <w:p w:rsidR="0026040C" w:rsidRPr="004601D7" w:rsidRDefault="0026040C" w:rsidP="00D33180">
            <w:pPr>
              <w:pStyle w:val="BodyText3"/>
              <w:jc w:val="center"/>
              <w:rPr>
                <w:rFonts w:asciiTheme="minorBidi" w:hAnsiTheme="minorBidi" w:cstheme="minorBidi"/>
                <w:sz w:val="16"/>
                <w:szCs w:val="14"/>
              </w:rPr>
            </w:pPr>
            <w:r w:rsidRPr="004601D7">
              <w:rPr>
                <w:rFonts w:asciiTheme="minorBidi" w:hAnsiTheme="minorBidi" w:cstheme="minorBidi"/>
                <w:noProof/>
                <w:sz w:val="16"/>
                <w:szCs w:val="14"/>
              </w:rPr>
              <w:drawing>
                <wp:inline distT="0" distB="0" distL="0" distR="0" wp14:anchorId="418378ED" wp14:editId="6BC2F1AA">
                  <wp:extent cx="4400550" cy="1993900"/>
                  <wp:effectExtent l="0" t="0" r="0" b="0"/>
                  <wp:docPr id="17"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26040C" w:rsidRPr="004601D7" w:rsidRDefault="0026040C" w:rsidP="0026040C">
      <w:pPr>
        <w:pStyle w:val="BodyText2"/>
        <w:overflowPunct/>
        <w:autoSpaceDE/>
        <w:autoSpaceDN/>
        <w:adjustRightInd/>
        <w:spacing w:after="120"/>
        <w:ind w:left="142"/>
        <w:textAlignment w:val="auto"/>
        <w:rPr>
          <w:sz w:val="6"/>
          <w:szCs w:val="6"/>
        </w:rPr>
      </w:pPr>
    </w:p>
    <w:p w:rsidR="0026040C" w:rsidRPr="004601D7" w:rsidRDefault="0026040C" w:rsidP="00912D4D">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the environment and natural resources, see the tables in chapter 1.13 of the Arabic section, pages 1</w:t>
      </w:r>
      <w:r w:rsidR="001A0F85" w:rsidRPr="004601D7">
        <w:rPr>
          <w:rFonts w:cs="Times New Roman"/>
          <w:b/>
          <w:bCs/>
          <w:i/>
          <w:iCs/>
          <w:sz w:val="18"/>
          <w:szCs w:val="18"/>
          <w:u w:val="single"/>
        </w:rPr>
        <w:t>3</w:t>
      </w:r>
      <w:r w:rsidR="00912D4D">
        <w:rPr>
          <w:rFonts w:cs="Times New Roman"/>
          <w:b/>
          <w:bCs/>
          <w:i/>
          <w:iCs/>
          <w:sz w:val="18"/>
          <w:szCs w:val="18"/>
          <w:u w:val="single"/>
        </w:rPr>
        <w:t>3</w:t>
      </w:r>
      <w:r w:rsidRPr="004601D7">
        <w:rPr>
          <w:rFonts w:cs="Times New Roman"/>
          <w:b/>
          <w:bCs/>
          <w:i/>
          <w:iCs/>
          <w:sz w:val="18"/>
          <w:szCs w:val="18"/>
          <w:u w:val="single"/>
        </w:rPr>
        <w:t>-1</w:t>
      </w:r>
      <w:r w:rsidR="001A0F85" w:rsidRPr="004601D7">
        <w:rPr>
          <w:rFonts w:cs="Times New Roman"/>
          <w:b/>
          <w:bCs/>
          <w:i/>
          <w:iCs/>
          <w:sz w:val="18"/>
          <w:szCs w:val="18"/>
          <w:u w:val="single"/>
        </w:rPr>
        <w:t>4</w:t>
      </w:r>
      <w:r w:rsidR="00912D4D">
        <w:rPr>
          <w:rFonts w:cs="Times New Roman"/>
          <w:b/>
          <w:bCs/>
          <w:i/>
          <w:iCs/>
          <w:sz w:val="18"/>
          <w:szCs w:val="18"/>
          <w:u w:val="single"/>
        </w:rPr>
        <w:t>2</w:t>
      </w:r>
      <w:r w:rsidRPr="004601D7">
        <w:rPr>
          <w:rFonts w:cs="Times New Roman"/>
          <w:b/>
          <w:bCs/>
          <w:i/>
          <w:iCs/>
          <w:sz w:val="18"/>
          <w:szCs w:val="18"/>
          <w:u w:val="single"/>
        </w:rPr>
        <w:t>.</w:t>
      </w:r>
    </w:p>
    <w:p w:rsidR="0024106F" w:rsidRPr="004601D7" w:rsidRDefault="0024106F" w:rsidP="0024106F">
      <w:pPr>
        <w:overflowPunct/>
        <w:autoSpaceDE/>
        <w:autoSpaceDN/>
        <w:adjustRightInd/>
        <w:textAlignment w:val="auto"/>
        <w:rPr>
          <w:rFonts w:cs="Traditional Arabic"/>
          <w:b/>
          <w:bCs/>
          <w:noProof/>
          <w:sz w:val="10"/>
          <w:szCs w:val="10"/>
        </w:rPr>
      </w:pPr>
    </w:p>
    <w:p w:rsidR="006868A7" w:rsidRPr="004601D7" w:rsidRDefault="006868A7">
      <w:pPr>
        <w:overflowPunct/>
        <w:autoSpaceDE/>
        <w:autoSpaceDN/>
        <w:adjustRightInd/>
        <w:textAlignment w:val="auto"/>
        <w:rPr>
          <w:rFonts w:cs="Traditional Arabic"/>
          <w:b/>
          <w:bCs/>
          <w:noProof/>
          <w:sz w:val="10"/>
          <w:szCs w:val="10"/>
        </w:rPr>
      </w:pPr>
    </w:p>
    <w:p w:rsidR="00B56D61" w:rsidRPr="004601D7" w:rsidRDefault="00B56D61" w:rsidP="005A5BFA">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Establishment</w:t>
      </w:r>
      <w:r w:rsidR="00CC6ED1" w:rsidRPr="004601D7">
        <w:rPr>
          <w:rFonts w:cs="Traditional Arabic"/>
          <w:sz w:val="20"/>
          <w:szCs w:val="20"/>
        </w:rPr>
        <w:t>s</w:t>
      </w:r>
    </w:p>
    <w:p w:rsidR="00C9796D" w:rsidRPr="004601D7" w:rsidRDefault="00C9796D" w:rsidP="00454517">
      <w:pPr>
        <w:pStyle w:val="BodyText2"/>
        <w:numPr>
          <w:ilvl w:val="0"/>
          <w:numId w:val="2"/>
        </w:numPr>
        <w:overflowPunct/>
        <w:autoSpaceDE/>
        <w:autoSpaceDN/>
        <w:adjustRightInd/>
        <w:ind w:left="266" w:hanging="266"/>
        <w:textAlignment w:val="auto"/>
        <w:rPr>
          <w:noProof/>
        </w:rPr>
      </w:pPr>
      <w:r w:rsidRPr="004601D7">
        <w:rPr>
          <w:noProof/>
        </w:rPr>
        <w:t xml:space="preserve">In </w:t>
      </w:r>
      <w:r w:rsidR="003A2705" w:rsidRPr="004601D7">
        <w:rPr>
          <w:noProof/>
        </w:rPr>
        <w:t>2017</w:t>
      </w:r>
      <w:r w:rsidR="00D32D72" w:rsidRPr="004601D7">
        <w:rPr>
          <w:noProof/>
        </w:rPr>
        <w:t>,</w:t>
      </w:r>
      <w:r w:rsidRPr="004601D7">
        <w:rPr>
          <w:noProof/>
        </w:rPr>
        <w:t xml:space="preserve"> </w:t>
      </w:r>
      <w:r w:rsidR="00493687" w:rsidRPr="004601D7">
        <w:rPr>
          <w:noProof/>
        </w:rPr>
        <w:t xml:space="preserve">operating </w:t>
      </w:r>
      <w:r w:rsidRPr="004601D7">
        <w:rPr>
          <w:noProof/>
        </w:rPr>
        <w:t>establishments in the private sector, non-governmental organization sector and governmental companies in Palestine comprised 148,974 establishments: 101,517 establishments in the West Bank and 47,457 establishments in Gaza Strip</w:t>
      </w:r>
      <w:r w:rsidR="00454517">
        <w:rPr>
          <w:noProof/>
        </w:rPr>
        <w:t xml:space="preserve"> with</w:t>
      </w:r>
      <w:r w:rsidRPr="004601D7">
        <w:rPr>
          <w:noProof/>
        </w:rPr>
        <w:t xml:space="preserve"> </w:t>
      </w:r>
      <w:r w:rsidR="00493687" w:rsidRPr="004601D7">
        <w:rPr>
          <w:noProof/>
        </w:rPr>
        <w:t xml:space="preserve">444,086 </w:t>
      </w:r>
      <w:r w:rsidRPr="004601D7">
        <w:rPr>
          <w:noProof/>
        </w:rPr>
        <w:t xml:space="preserve">employees </w:t>
      </w:r>
      <w:r w:rsidR="00454517">
        <w:rPr>
          <w:noProof/>
        </w:rPr>
        <w:t xml:space="preserve">of them, </w:t>
      </w:r>
      <w:r w:rsidRPr="004601D7">
        <w:rPr>
          <w:noProof/>
        </w:rPr>
        <w:t>309,848 employees in the West Bank and 134,238 employees in Gaza Strip.</w:t>
      </w:r>
      <w:r w:rsidR="00604E41" w:rsidRPr="004601D7">
        <w:rPr>
          <w:noProof/>
        </w:rPr>
        <w:t xml:space="preserve"> </w:t>
      </w:r>
    </w:p>
    <w:p w:rsidR="009E41DA" w:rsidRPr="004601D7" w:rsidRDefault="009E41DA" w:rsidP="009E41DA">
      <w:pPr>
        <w:pStyle w:val="BodyText2"/>
        <w:overflowPunct/>
        <w:autoSpaceDE/>
        <w:autoSpaceDN/>
        <w:adjustRightInd/>
        <w:ind w:left="266"/>
        <w:textAlignment w:val="auto"/>
        <w:rPr>
          <w:noProof/>
        </w:rPr>
      </w:pPr>
    </w:p>
    <w:p w:rsidR="00C9796D" w:rsidRPr="004601D7" w:rsidRDefault="00C9796D" w:rsidP="00493687">
      <w:pPr>
        <w:pStyle w:val="BodyText2"/>
        <w:numPr>
          <w:ilvl w:val="0"/>
          <w:numId w:val="2"/>
        </w:numPr>
        <w:overflowPunct/>
        <w:autoSpaceDE/>
        <w:autoSpaceDN/>
        <w:adjustRightInd/>
        <w:ind w:left="266" w:hanging="266"/>
        <w:textAlignment w:val="auto"/>
        <w:rPr>
          <w:noProof/>
        </w:rPr>
      </w:pPr>
      <w:r w:rsidRPr="004601D7">
        <w:rPr>
          <w:noProof/>
        </w:rPr>
        <w:t xml:space="preserve">The distribution of </w:t>
      </w:r>
      <w:r w:rsidR="00493687" w:rsidRPr="004601D7">
        <w:rPr>
          <w:noProof/>
        </w:rPr>
        <w:t xml:space="preserve">such </w:t>
      </w:r>
      <w:r w:rsidRPr="004601D7">
        <w:rPr>
          <w:noProof/>
        </w:rPr>
        <w:t>establishments</w:t>
      </w:r>
      <w:r w:rsidR="00493687" w:rsidRPr="004601D7">
        <w:rPr>
          <w:noProof/>
        </w:rPr>
        <w:t xml:space="preserve"> by economic activity </w:t>
      </w:r>
      <w:r w:rsidRPr="004601D7">
        <w:rPr>
          <w:noProof/>
        </w:rPr>
        <w:t xml:space="preserve">showed that the activities of wholesale, retail trade and repairs came first with 81,203 establishments, manufacturing activities came in second place with 19,778 establishments, </w:t>
      </w:r>
      <w:r w:rsidR="00493687" w:rsidRPr="004601D7">
        <w:rPr>
          <w:noProof/>
        </w:rPr>
        <w:t>followed by</w:t>
      </w:r>
      <w:r w:rsidRPr="004601D7">
        <w:rPr>
          <w:noProof/>
        </w:rPr>
        <w:t xml:space="preserve"> establishments in other services act</w:t>
      </w:r>
      <w:r w:rsidR="00493687" w:rsidRPr="004601D7">
        <w:rPr>
          <w:noProof/>
        </w:rPr>
        <w:t xml:space="preserve">ivities; </w:t>
      </w:r>
      <w:r w:rsidRPr="004601D7">
        <w:rPr>
          <w:noProof/>
        </w:rPr>
        <w:t xml:space="preserve">13,697 establishments. The smallest number was in the activities of households as employers of undifferentiated goods and service-producing activities of households for own use with </w:t>
      </w:r>
      <w:r w:rsidRPr="004601D7">
        <w:rPr>
          <w:noProof/>
          <w:rtl/>
        </w:rPr>
        <w:t>5</w:t>
      </w:r>
      <w:r w:rsidRPr="004601D7">
        <w:rPr>
          <w:noProof/>
        </w:rPr>
        <w:t xml:space="preserve"> establishments.  </w:t>
      </w:r>
    </w:p>
    <w:p w:rsidR="009E41DA" w:rsidRPr="004601D7" w:rsidRDefault="009E41DA" w:rsidP="009E41DA">
      <w:pPr>
        <w:pStyle w:val="BodyText2"/>
        <w:overflowPunct/>
        <w:autoSpaceDE/>
        <w:autoSpaceDN/>
        <w:adjustRightInd/>
        <w:textAlignment w:val="auto"/>
        <w:rPr>
          <w:noProof/>
        </w:rPr>
      </w:pPr>
    </w:p>
    <w:p w:rsidR="00451E35" w:rsidRPr="004601D7" w:rsidRDefault="00451E35" w:rsidP="00912D4D">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 xml:space="preserve">For more details on </w:t>
      </w:r>
      <w:r w:rsidR="00B12511" w:rsidRPr="004601D7">
        <w:rPr>
          <w:rFonts w:cs="Times New Roman"/>
          <w:b/>
          <w:bCs/>
          <w:i/>
          <w:iCs/>
          <w:sz w:val="18"/>
          <w:szCs w:val="18"/>
          <w:u w:val="single"/>
        </w:rPr>
        <w:t>e</w:t>
      </w:r>
      <w:r w:rsidRPr="004601D7">
        <w:rPr>
          <w:rFonts w:cs="Times New Roman"/>
          <w:b/>
          <w:bCs/>
          <w:i/>
          <w:iCs/>
          <w:sz w:val="18"/>
          <w:szCs w:val="18"/>
          <w:u w:val="single"/>
        </w:rPr>
        <w:t>stablishment</w:t>
      </w:r>
      <w:r w:rsidR="00B12511" w:rsidRPr="004601D7">
        <w:rPr>
          <w:rFonts w:cs="Times New Roman"/>
          <w:b/>
          <w:bCs/>
          <w:i/>
          <w:iCs/>
          <w:sz w:val="18"/>
          <w:szCs w:val="18"/>
          <w:u w:val="single"/>
        </w:rPr>
        <w:t>s</w:t>
      </w:r>
      <w:r w:rsidRPr="004601D7">
        <w:rPr>
          <w:rFonts w:cs="Times New Roman"/>
          <w:b/>
          <w:bCs/>
          <w:i/>
          <w:iCs/>
          <w:sz w:val="18"/>
          <w:szCs w:val="18"/>
          <w:u w:val="single"/>
        </w:rPr>
        <w:t>, see the tables in chapter 1.1</w:t>
      </w:r>
      <w:r w:rsidR="00EE63BF" w:rsidRPr="004601D7">
        <w:rPr>
          <w:rFonts w:cs="Times New Roman"/>
          <w:b/>
          <w:bCs/>
          <w:i/>
          <w:iCs/>
          <w:sz w:val="18"/>
          <w:szCs w:val="18"/>
          <w:u w:val="single"/>
        </w:rPr>
        <w:t>4</w:t>
      </w:r>
      <w:r w:rsidRPr="004601D7">
        <w:rPr>
          <w:rFonts w:cs="Times New Roman"/>
          <w:b/>
          <w:bCs/>
          <w:i/>
          <w:iCs/>
          <w:sz w:val="18"/>
          <w:szCs w:val="18"/>
          <w:u w:val="single"/>
        </w:rPr>
        <w:t xml:space="preserve"> of the Arabic section, pages</w:t>
      </w:r>
      <w:r w:rsidRPr="004601D7">
        <w:rPr>
          <w:rFonts w:cs="Times New Roman"/>
          <w:b/>
          <w:bCs/>
          <w:i/>
          <w:iCs/>
          <w:sz w:val="18"/>
          <w:szCs w:val="18"/>
          <w:u w:val="single"/>
          <w:rtl/>
        </w:rPr>
        <w:t xml:space="preserve"> </w:t>
      </w:r>
      <w:r w:rsidR="0015308F" w:rsidRPr="004601D7">
        <w:rPr>
          <w:rFonts w:cs="Times New Roman"/>
          <w:b/>
          <w:bCs/>
          <w:i/>
          <w:iCs/>
          <w:sz w:val="18"/>
          <w:szCs w:val="18"/>
          <w:u w:val="single"/>
        </w:rPr>
        <w:t>1</w:t>
      </w:r>
      <w:r w:rsidR="00912D4D">
        <w:rPr>
          <w:rFonts w:cs="Times New Roman"/>
          <w:b/>
          <w:bCs/>
          <w:i/>
          <w:iCs/>
          <w:sz w:val="18"/>
          <w:szCs w:val="18"/>
          <w:u w:val="single"/>
        </w:rPr>
        <w:t>43</w:t>
      </w:r>
      <w:r w:rsidRPr="004601D7">
        <w:rPr>
          <w:rFonts w:cs="Times New Roman"/>
          <w:b/>
          <w:bCs/>
          <w:i/>
          <w:iCs/>
          <w:sz w:val="18"/>
          <w:szCs w:val="18"/>
          <w:u w:val="single"/>
        </w:rPr>
        <w:t>-</w:t>
      </w:r>
      <w:r w:rsidR="0015308F" w:rsidRPr="004601D7">
        <w:rPr>
          <w:rFonts w:cs="Times New Roman"/>
          <w:b/>
          <w:bCs/>
          <w:i/>
          <w:iCs/>
          <w:sz w:val="18"/>
          <w:szCs w:val="18"/>
          <w:u w:val="single"/>
        </w:rPr>
        <w:t>1</w:t>
      </w:r>
      <w:r w:rsidR="00912D4D">
        <w:rPr>
          <w:rFonts w:cs="Times New Roman"/>
          <w:b/>
          <w:bCs/>
          <w:i/>
          <w:iCs/>
          <w:sz w:val="18"/>
          <w:szCs w:val="18"/>
          <w:u w:val="single"/>
        </w:rPr>
        <w:t>48</w:t>
      </w:r>
      <w:r w:rsidRPr="004601D7">
        <w:rPr>
          <w:rFonts w:cs="Times New Roman"/>
          <w:b/>
          <w:bCs/>
          <w:i/>
          <w:iCs/>
          <w:sz w:val="18"/>
          <w:szCs w:val="18"/>
          <w:u w:val="single"/>
        </w:rPr>
        <w:t>.</w:t>
      </w:r>
    </w:p>
    <w:p w:rsidR="00A86BAA" w:rsidRPr="004601D7" w:rsidRDefault="00A86BAA" w:rsidP="00A86BAA">
      <w:pPr>
        <w:pStyle w:val="ListParagraph"/>
        <w:bidi w:val="0"/>
        <w:ind w:left="0"/>
        <w:jc w:val="lowKashida"/>
        <w:rPr>
          <w:rFonts w:cs="Times New Roman"/>
          <w:b/>
          <w:bCs/>
          <w:i/>
          <w:iCs/>
          <w:sz w:val="18"/>
          <w:szCs w:val="18"/>
          <w:u w:val="single"/>
        </w:rPr>
      </w:pPr>
    </w:p>
    <w:p w:rsidR="005A5BFA" w:rsidRPr="004601D7" w:rsidRDefault="005A5BFA" w:rsidP="005A5BFA">
      <w:pPr>
        <w:pStyle w:val="ListParagraph"/>
        <w:bidi w:val="0"/>
        <w:ind w:left="0"/>
        <w:jc w:val="lowKashida"/>
        <w:rPr>
          <w:rFonts w:cs="Times New Roman"/>
          <w:b/>
          <w:bCs/>
          <w:i/>
          <w:iCs/>
          <w:sz w:val="18"/>
          <w:szCs w:val="18"/>
          <w:u w:val="single"/>
        </w:rPr>
      </w:pPr>
      <w:r w:rsidRPr="004601D7">
        <w:lastRenderedPageBreak/>
        <w:drawing>
          <wp:anchor distT="0" distB="0" distL="114300" distR="114300" simplePos="0" relativeHeight="251665408" behindDoc="0" locked="0" layoutInCell="1" allowOverlap="1" wp14:anchorId="33213513" wp14:editId="1BFDECED">
            <wp:simplePos x="0" y="0"/>
            <wp:positionH relativeFrom="column">
              <wp:posOffset>3175</wp:posOffset>
            </wp:positionH>
            <wp:positionV relativeFrom="paragraph">
              <wp:posOffset>154305</wp:posOffset>
            </wp:positionV>
            <wp:extent cx="4585335" cy="4639945"/>
            <wp:effectExtent l="19050" t="19050" r="5715" b="8255"/>
            <wp:wrapTopAndBottom/>
            <wp:docPr id="29" name="Picture 4" descr="G:\كتاب فلسطين الاحصائي السنوي 2019\الخرائط\Establishments_2019_En.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G:\كتاب فلسطين الاحصائي السنوي 2019\الخرائط\Establishments_2019_En.png"/>
                    <pic:cNvPicPr>
                      <a:picLocks noChangeAspect="1" noChangeArrowheads="1"/>
                    </pic:cNvPicPr>
                  </pic:nvPicPr>
                  <pic:blipFill>
                    <a:blip r:embed="rId18" cstate="print"/>
                    <a:srcRect l="10003" t="13360" r="10674" b="17718"/>
                    <a:stretch>
                      <a:fillRect/>
                    </a:stretch>
                  </pic:blipFill>
                  <pic:spPr bwMode="auto">
                    <a:xfrm>
                      <a:off x="0" y="0"/>
                      <a:ext cx="4585335" cy="4639945"/>
                    </a:xfrm>
                    <a:prstGeom prst="rect">
                      <a:avLst/>
                    </a:prstGeom>
                    <a:noFill/>
                    <a:ln w="9525">
                      <a:solidFill>
                        <a:schemeClr val="tx1"/>
                      </a:solidFill>
                      <a:miter lim="800000"/>
                      <a:headEnd/>
                      <a:tailEnd/>
                    </a:ln>
                  </pic:spPr>
                </pic:pic>
              </a:graphicData>
            </a:graphic>
            <wp14:sizeRelH relativeFrom="margin">
              <wp14:pctWidth>0</wp14:pctWidth>
            </wp14:sizeRelH>
            <wp14:sizeRelV relativeFrom="margin">
              <wp14:pctHeight>0</wp14:pctHeight>
            </wp14:sizeRelV>
          </wp:anchor>
        </w:drawing>
      </w:r>
    </w:p>
    <w:p w:rsidR="00897801" w:rsidRPr="004601D7" w:rsidRDefault="00897801" w:rsidP="00897801">
      <w:pPr>
        <w:pStyle w:val="Title"/>
        <w:tabs>
          <w:tab w:val="right" w:pos="308"/>
        </w:tabs>
        <w:bidi w:val="0"/>
        <w:ind w:left="252"/>
        <w:jc w:val="left"/>
        <w:rPr>
          <w:rFonts w:cs="Traditional Arabic"/>
          <w:sz w:val="20"/>
          <w:szCs w:val="20"/>
        </w:rPr>
      </w:pPr>
    </w:p>
    <w:p w:rsidR="00A86BAA" w:rsidRPr="004601D7" w:rsidRDefault="00A86BAA" w:rsidP="00897801">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National Accounts</w:t>
      </w:r>
    </w:p>
    <w:p w:rsidR="00A30768" w:rsidRPr="004601D7" w:rsidRDefault="00A30768" w:rsidP="00A30768">
      <w:pPr>
        <w:pStyle w:val="BodyText2"/>
        <w:numPr>
          <w:ilvl w:val="0"/>
          <w:numId w:val="2"/>
        </w:numPr>
        <w:overflowPunct/>
        <w:autoSpaceDE/>
        <w:autoSpaceDN/>
        <w:adjustRightInd/>
        <w:spacing w:after="120"/>
        <w:ind w:left="266" w:hanging="266"/>
        <w:textAlignment w:val="auto"/>
        <w:rPr>
          <w:noProof/>
        </w:rPr>
      </w:pPr>
      <w:r w:rsidRPr="004601D7">
        <w:rPr>
          <w:noProof/>
        </w:rPr>
        <w:t xml:space="preserve">The value of the Gross Domestic Product in 2019 in palestine at Constant Prices was USD </w:t>
      </w:r>
      <w:r w:rsidRPr="004601D7">
        <w:rPr>
          <w:noProof/>
          <w:rtl/>
        </w:rPr>
        <w:t>15</w:t>
      </w:r>
      <w:r w:rsidRPr="004601D7">
        <w:rPr>
          <w:noProof/>
        </w:rPr>
        <w:t>,829.0 million, with an increase of 1.4% compared with 2018.</w:t>
      </w:r>
    </w:p>
    <w:p w:rsidR="00A30768" w:rsidRPr="004601D7" w:rsidRDefault="00A30768" w:rsidP="00A30768">
      <w:pPr>
        <w:pStyle w:val="BodyText2"/>
        <w:numPr>
          <w:ilvl w:val="0"/>
          <w:numId w:val="2"/>
        </w:numPr>
        <w:overflowPunct/>
        <w:autoSpaceDE/>
        <w:autoSpaceDN/>
        <w:adjustRightInd/>
        <w:spacing w:after="120"/>
        <w:ind w:left="266" w:hanging="266"/>
        <w:textAlignment w:val="auto"/>
        <w:rPr>
          <w:noProof/>
        </w:rPr>
      </w:pPr>
      <w:r w:rsidRPr="004601D7">
        <w:rPr>
          <w:noProof/>
        </w:rPr>
        <w:t>GDP per capita at Constant Prices was USD 3,378.3 in 2019, a decrease of 1.2</w:t>
      </w:r>
      <w:r w:rsidRPr="004601D7">
        <w:rPr>
          <w:rFonts w:hint="cs"/>
          <w:noProof/>
          <w:rtl/>
        </w:rPr>
        <w:t>%</w:t>
      </w:r>
      <w:r w:rsidRPr="004601D7">
        <w:rPr>
          <w:noProof/>
        </w:rPr>
        <w:t xml:space="preserve"> compared with 2018.</w:t>
      </w:r>
    </w:p>
    <w:p w:rsidR="00A30768" w:rsidRPr="004601D7" w:rsidRDefault="00A30768" w:rsidP="00A30768">
      <w:pPr>
        <w:pStyle w:val="BodyText2"/>
        <w:numPr>
          <w:ilvl w:val="0"/>
          <w:numId w:val="2"/>
        </w:numPr>
        <w:overflowPunct/>
        <w:autoSpaceDE/>
        <w:autoSpaceDN/>
        <w:adjustRightInd/>
        <w:spacing w:after="120"/>
        <w:ind w:left="266" w:hanging="266"/>
        <w:textAlignment w:val="auto"/>
        <w:rPr>
          <w:noProof/>
        </w:rPr>
      </w:pPr>
      <w:r w:rsidRPr="004601D7">
        <w:rPr>
          <w:noProof/>
        </w:rPr>
        <w:t>Gross national income totaled USD 18,415.6 million in 2019 at Constant Prices, GNI per capita was USD 3,930.3 in the same year.</w:t>
      </w:r>
    </w:p>
    <w:p w:rsidR="00A30768" w:rsidRPr="004601D7" w:rsidRDefault="00A30768" w:rsidP="00A30768">
      <w:pPr>
        <w:pStyle w:val="BodyText2"/>
        <w:numPr>
          <w:ilvl w:val="0"/>
          <w:numId w:val="2"/>
        </w:numPr>
        <w:overflowPunct/>
        <w:autoSpaceDE/>
        <w:autoSpaceDN/>
        <w:adjustRightInd/>
        <w:spacing w:after="120"/>
        <w:ind w:left="266" w:hanging="266"/>
        <w:textAlignment w:val="auto"/>
        <w:rPr>
          <w:noProof/>
        </w:rPr>
      </w:pPr>
      <w:r w:rsidRPr="004601D7">
        <w:rPr>
          <w:noProof/>
        </w:rPr>
        <w:t>Gross disposable income totaled USD 19,960.7 million in 2019 at Constant Prices, GNDI per capita was USD 4,260.1 in 2019.</w:t>
      </w:r>
    </w:p>
    <w:p w:rsidR="00A30768" w:rsidRDefault="00A30768" w:rsidP="00A30768">
      <w:pPr>
        <w:ind w:left="360"/>
        <w:jc w:val="center"/>
        <w:rPr>
          <w:rFonts w:cs="Traditional Arabic"/>
          <w:b/>
          <w:bCs/>
        </w:rPr>
      </w:pPr>
    </w:p>
    <w:p w:rsidR="00454517" w:rsidRDefault="00454517" w:rsidP="00A30768">
      <w:pPr>
        <w:ind w:left="360"/>
        <w:jc w:val="center"/>
        <w:rPr>
          <w:rFonts w:cs="Traditional Arabic"/>
          <w:b/>
          <w:bCs/>
        </w:rPr>
      </w:pPr>
    </w:p>
    <w:p w:rsidR="00454517" w:rsidRDefault="00454517" w:rsidP="00A30768">
      <w:pPr>
        <w:ind w:left="360"/>
        <w:jc w:val="center"/>
        <w:rPr>
          <w:rFonts w:cs="Traditional Arabic"/>
          <w:b/>
          <w:bCs/>
        </w:rPr>
      </w:pPr>
    </w:p>
    <w:p w:rsidR="00454517" w:rsidRPr="004601D7" w:rsidRDefault="00454517" w:rsidP="00A30768">
      <w:pPr>
        <w:ind w:left="360"/>
        <w:jc w:val="center"/>
        <w:rPr>
          <w:rFonts w:cs="Traditional Arabic"/>
          <w:b/>
          <w:bCs/>
        </w:rPr>
      </w:pPr>
    </w:p>
    <w:p w:rsidR="00A30768" w:rsidRPr="004601D7" w:rsidRDefault="00A30768" w:rsidP="00A30768">
      <w:pPr>
        <w:ind w:left="360"/>
        <w:jc w:val="center"/>
        <w:rPr>
          <w:rFonts w:cs="Traditional Arabic"/>
          <w:b/>
          <w:bCs/>
        </w:rPr>
      </w:pPr>
      <w:r w:rsidRPr="004601D7">
        <w:rPr>
          <w:rFonts w:cs="Traditional Arabic"/>
          <w:b/>
          <w:bCs/>
        </w:rPr>
        <w:lastRenderedPageBreak/>
        <w:t>Gross Domestic Product (GDP) in Palestine at Constant Prices by Region</w:t>
      </w:r>
    </w:p>
    <w:p w:rsidR="00A30768" w:rsidRPr="004601D7" w:rsidRDefault="00A30768" w:rsidP="00A30768">
      <w:pPr>
        <w:ind w:left="360"/>
        <w:jc w:val="center"/>
        <w:rPr>
          <w:rFonts w:cs="Traditional Arabic"/>
          <w:b/>
          <w:bCs/>
        </w:rPr>
      </w:pPr>
      <w:r w:rsidRPr="004601D7">
        <w:rPr>
          <w:rFonts w:cs="Traditional Arabic"/>
          <w:b/>
          <w:bCs/>
        </w:rPr>
        <w:t>(Value in USD Billion), 2017-2019</w:t>
      </w:r>
    </w:p>
    <w:p w:rsidR="00A30768" w:rsidRPr="004601D7" w:rsidRDefault="00A30768" w:rsidP="00A30768">
      <w:pPr>
        <w:ind w:left="360"/>
        <w:jc w:val="center"/>
        <w:rPr>
          <w:rFonts w:cs="Traditional Arabic"/>
          <w:b/>
          <w:bCs/>
          <w:sz w:val="10"/>
          <w:szCs w:val="10"/>
        </w:rPr>
      </w:pPr>
    </w:p>
    <w:tbl>
      <w:tblPr>
        <w:tblStyle w:val="TableGrid"/>
        <w:tblW w:w="0" w:type="auto"/>
        <w:tblLook w:val="04A0" w:firstRow="1" w:lastRow="0" w:firstColumn="1" w:lastColumn="0" w:noHBand="0" w:noVBand="1"/>
      </w:tblPr>
      <w:tblGrid>
        <w:gridCol w:w="7587"/>
      </w:tblGrid>
      <w:tr w:rsidR="004601D7" w:rsidRPr="004601D7" w:rsidTr="002D5B8D">
        <w:tc>
          <w:tcPr>
            <w:tcW w:w="7587" w:type="dxa"/>
          </w:tcPr>
          <w:p w:rsidR="00A30768" w:rsidRPr="004601D7" w:rsidRDefault="00A30768" w:rsidP="002D5B8D">
            <w:pPr>
              <w:pStyle w:val="ListParagraph"/>
              <w:bidi w:val="0"/>
              <w:ind w:left="0"/>
              <w:jc w:val="center"/>
              <w:rPr>
                <w:rFonts w:cs="Traditional Arabic"/>
                <w:noProof w:val="0"/>
                <w:sz w:val="20"/>
              </w:rPr>
            </w:pPr>
            <w:r w:rsidRPr="004601D7">
              <w:rPr>
                <w:rFonts w:cs="Traditional Arabic"/>
                <w:sz w:val="20"/>
              </w:rPr>
              <w:drawing>
                <wp:inline distT="0" distB="0" distL="0" distR="0" wp14:anchorId="321ECDA5" wp14:editId="62C3F626">
                  <wp:extent cx="4473515" cy="1639019"/>
                  <wp:effectExtent l="0" t="0" r="0" b="0"/>
                  <wp:docPr id="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F10D61" w:rsidRPr="004601D7" w:rsidRDefault="00F10D61" w:rsidP="00F10D61">
      <w:pPr>
        <w:pStyle w:val="ListParagraph"/>
        <w:bidi w:val="0"/>
        <w:ind w:left="0"/>
        <w:jc w:val="lowKashida"/>
        <w:rPr>
          <w:rFonts w:ascii="Arial" w:hAnsi="Arial"/>
          <w:snapToGrid w:val="0"/>
          <w:sz w:val="16"/>
          <w:szCs w:val="16"/>
        </w:rPr>
      </w:pPr>
      <w:r w:rsidRPr="004601D7">
        <w:rPr>
          <w:rFonts w:ascii="Arial" w:hAnsi="Arial"/>
          <w:sz w:val="16"/>
          <w:szCs w:val="16"/>
        </w:rPr>
        <w:t>-: The data excluded those parts of Jerusalem which were annexed by Israeli Occupation in 1967.</w:t>
      </w:r>
    </w:p>
    <w:p w:rsidR="00A30768" w:rsidRPr="004601D7" w:rsidRDefault="00A30768" w:rsidP="00F10D61">
      <w:pPr>
        <w:pStyle w:val="ListParagraph"/>
        <w:bidi w:val="0"/>
        <w:ind w:left="0"/>
        <w:jc w:val="lowKashida"/>
        <w:rPr>
          <w:rFonts w:ascii="Arial" w:hAnsi="Arial"/>
          <w:snapToGrid w:val="0"/>
          <w:sz w:val="16"/>
          <w:szCs w:val="16"/>
        </w:rPr>
      </w:pPr>
      <w:r w:rsidRPr="004601D7">
        <w:rPr>
          <w:rFonts w:ascii="Arial" w:hAnsi="Arial"/>
          <w:snapToGrid w:val="0"/>
          <w:sz w:val="16"/>
          <w:szCs w:val="16"/>
        </w:rPr>
        <w:t xml:space="preserve">     Note: 2015 is the base year.</w:t>
      </w:r>
    </w:p>
    <w:p w:rsidR="00A30768" w:rsidRPr="004601D7" w:rsidRDefault="00A30768" w:rsidP="00A30768">
      <w:pPr>
        <w:pStyle w:val="ListParagraph"/>
        <w:bidi w:val="0"/>
        <w:ind w:left="0"/>
        <w:jc w:val="lowKashida"/>
        <w:rPr>
          <w:rFonts w:cs="Times New Roman"/>
          <w:b/>
          <w:bCs/>
          <w:i/>
          <w:iCs/>
          <w:sz w:val="18"/>
          <w:szCs w:val="18"/>
          <w:u w:val="single"/>
        </w:rPr>
      </w:pPr>
    </w:p>
    <w:p w:rsidR="00A30768" w:rsidRPr="004601D7" w:rsidRDefault="00A30768" w:rsidP="00912D4D">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national accounts, see the tables in chapter 1.15 of the Arabic section, pages 1</w:t>
      </w:r>
      <w:r w:rsidR="00912D4D">
        <w:rPr>
          <w:rFonts w:cs="Times New Roman"/>
          <w:b/>
          <w:bCs/>
          <w:i/>
          <w:iCs/>
          <w:sz w:val="18"/>
          <w:szCs w:val="18"/>
          <w:u w:val="single"/>
        </w:rPr>
        <w:t>49</w:t>
      </w:r>
      <w:r w:rsidRPr="004601D7">
        <w:rPr>
          <w:rFonts w:cs="Times New Roman"/>
          <w:b/>
          <w:bCs/>
          <w:i/>
          <w:iCs/>
          <w:sz w:val="18"/>
          <w:szCs w:val="18"/>
          <w:u w:val="single"/>
        </w:rPr>
        <w:t>-1</w:t>
      </w:r>
      <w:r w:rsidR="00912D4D">
        <w:rPr>
          <w:rFonts w:cs="Times New Roman"/>
          <w:b/>
          <w:bCs/>
          <w:i/>
          <w:iCs/>
          <w:sz w:val="18"/>
          <w:szCs w:val="18"/>
          <w:u w:val="single"/>
        </w:rPr>
        <w:t>56</w:t>
      </w:r>
      <w:r w:rsidRPr="004601D7">
        <w:rPr>
          <w:rFonts w:cs="Times New Roman"/>
          <w:b/>
          <w:bCs/>
          <w:i/>
          <w:iCs/>
          <w:sz w:val="18"/>
          <w:szCs w:val="18"/>
          <w:u w:val="single"/>
        </w:rPr>
        <w:t>.</w:t>
      </w:r>
    </w:p>
    <w:p w:rsidR="00E619C1" w:rsidRPr="004601D7" w:rsidRDefault="00E619C1" w:rsidP="00E619C1">
      <w:pPr>
        <w:pStyle w:val="Title"/>
        <w:bidi w:val="0"/>
        <w:jc w:val="left"/>
        <w:rPr>
          <w:rFonts w:cs="Times New Roman"/>
          <w:b w:val="0"/>
          <w:bCs w:val="0"/>
          <w:i/>
          <w:iCs/>
          <w:noProof w:val="0"/>
          <w:sz w:val="20"/>
          <w:szCs w:val="20"/>
          <w:u w:val="single"/>
        </w:rPr>
      </w:pPr>
    </w:p>
    <w:p w:rsidR="003D3EDB" w:rsidRPr="004601D7" w:rsidRDefault="003D3EDB" w:rsidP="003D3EDB">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 xml:space="preserve">Prices and Price Indices </w:t>
      </w:r>
    </w:p>
    <w:p w:rsidR="003D3EDB" w:rsidRPr="004601D7" w:rsidRDefault="003D3EDB" w:rsidP="003D3EDB">
      <w:pPr>
        <w:pStyle w:val="Title"/>
        <w:bidi w:val="0"/>
        <w:ind w:left="-210" w:firstLine="210"/>
        <w:jc w:val="left"/>
        <w:rPr>
          <w:rFonts w:cs="Traditional Arabic"/>
          <w:sz w:val="20"/>
          <w:szCs w:val="20"/>
        </w:rPr>
      </w:pPr>
      <w:r w:rsidRPr="004601D7">
        <w:rPr>
          <w:rFonts w:cs="Traditional Arabic"/>
          <w:sz w:val="20"/>
          <w:szCs w:val="20"/>
        </w:rPr>
        <w:t xml:space="preserve">16.1 Changes in Consumer Price Indices in 2019 compared with 2018: </w:t>
      </w:r>
    </w:p>
    <w:p w:rsidR="003D3EDB" w:rsidRPr="004601D7" w:rsidRDefault="003D3EDB" w:rsidP="003D3EDB">
      <w:pPr>
        <w:pStyle w:val="BodyText2"/>
        <w:numPr>
          <w:ilvl w:val="0"/>
          <w:numId w:val="2"/>
        </w:numPr>
        <w:overflowPunct/>
        <w:autoSpaceDE/>
        <w:autoSpaceDN/>
        <w:adjustRightInd/>
        <w:spacing w:after="120"/>
        <w:ind w:left="266" w:hanging="266"/>
        <w:textAlignment w:val="auto"/>
        <w:rPr>
          <w:noProof/>
        </w:rPr>
      </w:pPr>
      <w:r w:rsidRPr="004601D7">
        <w:rPr>
          <w:noProof/>
        </w:rPr>
        <w:t>The Consumer Price Index in Palestine increased by 1.58%.</w:t>
      </w:r>
    </w:p>
    <w:p w:rsidR="003D3EDB" w:rsidRPr="004601D7" w:rsidRDefault="003D3EDB" w:rsidP="003D3EDB">
      <w:pPr>
        <w:pStyle w:val="BodyText2"/>
        <w:numPr>
          <w:ilvl w:val="0"/>
          <w:numId w:val="2"/>
        </w:numPr>
        <w:overflowPunct/>
        <w:autoSpaceDE/>
        <w:autoSpaceDN/>
        <w:adjustRightInd/>
        <w:spacing w:after="120"/>
        <w:ind w:left="266" w:hanging="266"/>
        <w:textAlignment w:val="auto"/>
        <w:rPr>
          <w:noProof/>
        </w:rPr>
      </w:pPr>
      <w:r w:rsidRPr="004601D7">
        <w:rPr>
          <w:noProof/>
        </w:rPr>
        <w:t>The Consumer Price Index in Gaza Strip increased by 0.40%.</w:t>
      </w:r>
    </w:p>
    <w:p w:rsidR="003D3EDB" w:rsidRPr="004601D7" w:rsidRDefault="003D3EDB" w:rsidP="003D3EDB">
      <w:pPr>
        <w:pStyle w:val="BodyText2"/>
        <w:numPr>
          <w:ilvl w:val="0"/>
          <w:numId w:val="2"/>
        </w:numPr>
        <w:overflowPunct/>
        <w:autoSpaceDE/>
        <w:autoSpaceDN/>
        <w:adjustRightInd/>
        <w:spacing w:after="120"/>
        <w:ind w:left="266" w:hanging="266"/>
        <w:textAlignment w:val="auto"/>
        <w:rPr>
          <w:noProof/>
        </w:rPr>
      </w:pPr>
      <w:r w:rsidRPr="004601D7">
        <w:rPr>
          <w:noProof/>
        </w:rPr>
        <w:t>The Consumer Price Index in Jerusalem J1 increased by 1.37%.</w:t>
      </w:r>
    </w:p>
    <w:p w:rsidR="003D3EDB" w:rsidRPr="004601D7" w:rsidRDefault="003D3EDB" w:rsidP="003D3EDB">
      <w:pPr>
        <w:pStyle w:val="BodyText2"/>
        <w:numPr>
          <w:ilvl w:val="0"/>
          <w:numId w:val="2"/>
        </w:numPr>
        <w:overflowPunct/>
        <w:autoSpaceDE/>
        <w:autoSpaceDN/>
        <w:adjustRightInd/>
        <w:spacing w:after="120"/>
        <w:ind w:left="266" w:hanging="266"/>
        <w:textAlignment w:val="auto"/>
        <w:rPr>
          <w:noProof/>
        </w:rPr>
      </w:pPr>
      <w:r w:rsidRPr="004601D7">
        <w:rPr>
          <w:noProof/>
        </w:rPr>
        <w:t>The Consumer Price Index in the West Bank increased by 1.81%.</w:t>
      </w:r>
    </w:p>
    <w:p w:rsidR="003D3EDB" w:rsidRPr="004601D7" w:rsidRDefault="003D3EDB" w:rsidP="003D3EDB">
      <w:pPr>
        <w:overflowPunct/>
        <w:autoSpaceDE/>
        <w:autoSpaceDN/>
        <w:adjustRightInd/>
        <w:textAlignment w:val="auto"/>
        <w:rPr>
          <w:rFonts w:cs="Traditional Arabic"/>
          <w:b/>
          <w:bCs/>
          <w:noProof/>
        </w:rPr>
      </w:pPr>
    </w:p>
    <w:p w:rsidR="003D3EDB" w:rsidRPr="004601D7" w:rsidRDefault="003D3EDB" w:rsidP="003D3EDB">
      <w:pPr>
        <w:pStyle w:val="Title"/>
        <w:bidi w:val="0"/>
        <w:ind w:left="-210" w:firstLine="210"/>
        <w:jc w:val="left"/>
        <w:rPr>
          <w:rFonts w:cs="Traditional Arabic"/>
          <w:sz w:val="20"/>
          <w:szCs w:val="20"/>
        </w:rPr>
      </w:pPr>
      <w:r w:rsidRPr="004601D7">
        <w:rPr>
          <w:rFonts w:cs="Traditional Arabic"/>
          <w:sz w:val="20"/>
          <w:szCs w:val="20"/>
        </w:rPr>
        <w:t>16.2 Changes in Producer Price Indices in 2019 compared with 2018:</w:t>
      </w:r>
    </w:p>
    <w:p w:rsidR="003D3EDB" w:rsidRPr="004601D7" w:rsidRDefault="003D3EDB" w:rsidP="003D3EDB">
      <w:pPr>
        <w:pStyle w:val="BodyText2"/>
        <w:numPr>
          <w:ilvl w:val="0"/>
          <w:numId w:val="2"/>
        </w:numPr>
        <w:overflowPunct/>
        <w:autoSpaceDE/>
        <w:autoSpaceDN/>
        <w:adjustRightInd/>
        <w:spacing w:after="120"/>
        <w:ind w:left="266" w:hanging="266"/>
        <w:textAlignment w:val="auto"/>
        <w:rPr>
          <w:noProof/>
        </w:rPr>
      </w:pPr>
      <w:r w:rsidRPr="004601D7">
        <w:rPr>
          <w:noProof/>
        </w:rPr>
        <w:t>The total Producer Price Index decreased by 0.58%.</w:t>
      </w:r>
    </w:p>
    <w:p w:rsidR="003D3EDB" w:rsidRPr="004601D7" w:rsidRDefault="003D3EDB" w:rsidP="003D3EDB">
      <w:pPr>
        <w:pStyle w:val="BodyText2"/>
        <w:numPr>
          <w:ilvl w:val="0"/>
          <w:numId w:val="2"/>
        </w:numPr>
        <w:overflowPunct/>
        <w:autoSpaceDE/>
        <w:autoSpaceDN/>
        <w:adjustRightInd/>
        <w:spacing w:after="120"/>
        <w:ind w:left="266" w:hanging="266"/>
        <w:textAlignment w:val="auto"/>
        <w:rPr>
          <w:noProof/>
        </w:rPr>
      </w:pPr>
      <w:r w:rsidRPr="004601D7">
        <w:rPr>
          <w:noProof/>
        </w:rPr>
        <w:t>The Producer Price Index for locally consumed products decreased by 0.60%.</w:t>
      </w:r>
    </w:p>
    <w:p w:rsidR="003D3EDB" w:rsidRPr="004601D7" w:rsidRDefault="003D3EDB" w:rsidP="003D3EDB">
      <w:pPr>
        <w:pStyle w:val="BodyText2"/>
        <w:numPr>
          <w:ilvl w:val="0"/>
          <w:numId w:val="2"/>
        </w:numPr>
        <w:overflowPunct/>
        <w:autoSpaceDE/>
        <w:autoSpaceDN/>
        <w:adjustRightInd/>
        <w:spacing w:after="120"/>
        <w:ind w:left="266" w:hanging="266"/>
        <w:textAlignment w:val="auto"/>
        <w:rPr>
          <w:noProof/>
        </w:rPr>
      </w:pPr>
      <w:r w:rsidRPr="004601D7">
        <w:rPr>
          <w:noProof/>
        </w:rPr>
        <w:t>The Producer Price Index for locally exported products decreased by 0.42%.</w:t>
      </w:r>
    </w:p>
    <w:p w:rsidR="003D3EDB" w:rsidRPr="004601D7" w:rsidRDefault="003D3EDB" w:rsidP="003D3EDB">
      <w:pPr>
        <w:pStyle w:val="Title"/>
        <w:bidi w:val="0"/>
        <w:ind w:left="-210" w:firstLine="210"/>
        <w:jc w:val="left"/>
        <w:rPr>
          <w:rFonts w:cs="Traditional Arabic"/>
          <w:sz w:val="20"/>
          <w:szCs w:val="20"/>
        </w:rPr>
      </w:pPr>
      <w:r w:rsidRPr="004601D7">
        <w:rPr>
          <w:rFonts w:cs="Traditional Arabic"/>
          <w:sz w:val="20"/>
          <w:szCs w:val="20"/>
        </w:rPr>
        <w:t>16.3 Changes in Wholesale Price Indices in 2019 compared with 2018:</w:t>
      </w:r>
    </w:p>
    <w:p w:rsidR="003D3EDB" w:rsidRPr="004601D7" w:rsidRDefault="003D3EDB" w:rsidP="003D3EDB">
      <w:pPr>
        <w:pStyle w:val="BodyText2"/>
        <w:numPr>
          <w:ilvl w:val="0"/>
          <w:numId w:val="2"/>
        </w:numPr>
        <w:overflowPunct/>
        <w:autoSpaceDE/>
        <w:autoSpaceDN/>
        <w:adjustRightInd/>
        <w:spacing w:after="120"/>
        <w:ind w:left="266" w:hanging="266"/>
        <w:textAlignment w:val="auto"/>
        <w:rPr>
          <w:noProof/>
        </w:rPr>
      </w:pPr>
      <w:r w:rsidRPr="004601D7">
        <w:rPr>
          <w:noProof/>
        </w:rPr>
        <w:t>The total Wholesale Price Index increased by 0.11%.</w:t>
      </w:r>
    </w:p>
    <w:p w:rsidR="003D3EDB" w:rsidRPr="004601D7" w:rsidRDefault="003D3EDB" w:rsidP="003D3EDB">
      <w:pPr>
        <w:pStyle w:val="BodyText2"/>
        <w:numPr>
          <w:ilvl w:val="0"/>
          <w:numId w:val="2"/>
        </w:numPr>
        <w:overflowPunct/>
        <w:autoSpaceDE/>
        <w:autoSpaceDN/>
        <w:adjustRightInd/>
        <w:spacing w:after="120"/>
        <w:ind w:left="266" w:hanging="266"/>
        <w:textAlignment w:val="auto"/>
        <w:rPr>
          <w:noProof/>
        </w:rPr>
      </w:pPr>
      <w:r w:rsidRPr="004601D7">
        <w:rPr>
          <w:noProof/>
        </w:rPr>
        <w:t>The Wholesale Price Index for local products increased by 1.41%.</w:t>
      </w:r>
    </w:p>
    <w:p w:rsidR="003D3EDB" w:rsidRPr="004601D7" w:rsidRDefault="003D3EDB" w:rsidP="003D3EDB">
      <w:pPr>
        <w:pStyle w:val="BodyText2"/>
        <w:numPr>
          <w:ilvl w:val="0"/>
          <w:numId w:val="2"/>
        </w:numPr>
        <w:overflowPunct/>
        <w:autoSpaceDE/>
        <w:autoSpaceDN/>
        <w:adjustRightInd/>
        <w:spacing w:after="120"/>
        <w:ind w:left="266" w:hanging="266"/>
        <w:textAlignment w:val="auto"/>
        <w:rPr>
          <w:noProof/>
        </w:rPr>
      </w:pPr>
      <w:r w:rsidRPr="004601D7">
        <w:rPr>
          <w:noProof/>
        </w:rPr>
        <w:t>The Wholesale Price Index for imported products decreased by 0.86%.</w:t>
      </w:r>
    </w:p>
    <w:p w:rsidR="00CF654D" w:rsidRPr="004601D7" w:rsidRDefault="00CF654D" w:rsidP="00CF654D">
      <w:pPr>
        <w:pStyle w:val="ListParagraph"/>
        <w:bidi w:val="0"/>
        <w:ind w:left="0"/>
        <w:jc w:val="lowKashida"/>
        <w:rPr>
          <w:rFonts w:cs="Times New Roman"/>
          <w:i/>
          <w:iCs/>
          <w:sz w:val="20"/>
          <w:u w:val="single"/>
        </w:rPr>
      </w:pPr>
    </w:p>
    <w:p w:rsidR="00CF654D" w:rsidRPr="004601D7" w:rsidRDefault="00CF654D" w:rsidP="00912D4D">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prices and price indices, see the tables in chapter 1.16 of the Arabic section, pages</w:t>
      </w:r>
      <w:r w:rsidRPr="004601D7">
        <w:rPr>
          <w:rFonts w:cs="Times New Roman"/>
          <w:b/>
          <w:bCs/>
          <w:i/>
          <w:iCs/>
          <w:sz w:val="18"/>
          <w:szCs w:val="18"/>
          <w:u w:val="single"/>
          <w:rtl/>
        </w:rPr>
        <w:t xml:space="preserve"> </w:t>
      </w:r>
      <w:r w:rsidR="00426EE0" w:rsidRPr="004601D7">
        <w:rPr>
          <w:rFonts w:cs="Times New Roman"/>
          <w:b/>
          <w:bCs/>
          <w:i/>
          <w:iCs/>
          <w:sz w:val="18"/>
          <w:szCs w:val="18"/>
          <w:u w:val="single"/>
        </w:rPr>
        <w:t>1</w:t>
      </w:r>
      <w:r w:rsidR="00912D4D">
        <w:rPr>
          <w:rFonts w:cs="Times New Roman"/>
          <w:b/>
          <w:bCs/>
          <w:i/>
          <w:iCs/>
          <w:sz w:val="18"/>
          <w:szCs w:val="18"/>
          <w:u w:val="single"/>
        </w:rPr>
        <w:t>57</w:t>
      </w:r>
      <w:r w:rsidRPr="004601D7">
        <w:rPr>
          <w:rFonts w:cs="Times New Roman"/>
          <w:b/>
          <w:bCs/>
          <w:i/>
          <w:iCs/>
          <w:sz w:val="18"/>
          <w:szCs w:val="18"/>
          <w:u w:val="single"/>
        </w:rPr>
        <w:t>-</w:t>
      </w:r>
      <w:r w:rsidR="00426EE0" w:rsidRPr="004601D7">
        <w:rPr>
          <w:rFonts w:cs="Times New Roman"/>
          <w:b/>
          <w:bCs/>
          <w:i/>
          <w:iCs/>
          <w:sz w:val="18"/>
          <w:szCs w:val="18"/>
          <w:u w:val="single"/>
        </w:rPr>
        <w:t>1</w:t>
      </w:r>
      <w:r w:rsidR="001A0F85" w:rsidRPr="004601D7">
        <w:rPr>
          <w:rFonts w:cs="Times New Roman"/>
          <w:b/>
          <w:bCs/>
          <w:i/>
          <w:iCs/>
          <w:sz w:val="18"/>
          <w:szCs w:val="18"/>
          <w:u w:val="single"/>
        </w:rPr>
        <w:t>7</w:t>
      </w:r>
      <w:r w:rsidR="00912D4D">
        <w:rPr>
          <w:rFonts w:cs="Times New Roman"/>
          <w:b/>
          <w:bCs/>
          <w:i/>
          <w:iCs/>
          <w:sz w:val="18"/>
          <w:szCs w:val="18"/>
          <w:u w:val="single"/>
        </w:rPr>
        <w:t>0</w:t>
      </w:r>
      <w:r w:rsidRPr="004601D7">
        <w:rPr>
          <w:rFonts w:cs="Times New Roman"/>
          <w:b/>
          <w:bCs/>
          <w:i/>
          <w:iCs/>
          <w:sz w:val="18"/>
          <w:szCs w:val="18"/>
          <w:u w:val="single"/>
        </w:rPr>
        <w:t>.</w:t>
      </w:r>
    </w:p>
    <w:p w:rsidR="009E41DA" w:rsidRPr="004601D7" w:rsidRDefault="009E41DA" w:rsidP="009E41DA">
      <w:pPr>
        <w:pStyle w:val="ListParagraph"/>
        <w:bidi w:val="0"/>
        <w:ind w:left="0"/>
        <w:jc w:val="lowKashida"/>
        <w:rPr>
          <w:rFonts w:cs="Times New Roman"/>
          <w:b/>
          <w:bCs/>
          <w:i/>
          <w:iCs/>
          <w:sz w:val="18"/>
          <w:szCs w:val="18"/>
          <w:u w:val="single"/>
        </w:rPr>
      </w:pPr>
    </w:p>
    <w:p w:rsidR="00AF1104" w:rsidRPr="004601D7" w:rsidRDefault="00AF1104" w:rsidP="00AF1104">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Construction</w:t>
      </w:r>
    </w:p>
    <w:p w:rsidR="00AF1104" w:rsidRPr="004601D7" w:rsidRDefault="00AF1104" w:rsidP="00AF1104">
      <w:pPr>
        <w:pStyle w:val="Title"/>
        <w:bidi w:val="0"/>
        <w:ind w:left="-210" w:firstLine="210"/>
        <w:jc w:val="left"/>
        <w:rPr>
          <w:rFonts w:cs="Traditional Arabic"/>
          <w:sz w:val="20"/>
          <w:szCs w:val="20"/>
        </w:rPr>
      </w:pPr>
      <w:r w:rsidRPr="004601D7">
        <w:rPr>
          <w:rFonts w:cs="Traditional Arabic"/>
          <w:sz w:val="20"/>
          <w:szCs w:val="20"/>
        </w:rPr>
        <w:t>17.1 Enterprises in Operation</w:t>
      </w:r>
    </w:p>
    <w:p w:rsidR="00874FE8" w:rsidRPr="004601D7" w:rsidRDefault="00874FE8" w:rsidP="00902E44">
      <w:pPr>
        <w:numPr>
          <w:ilvl w:val="0"/>
          <w:numId w:val="2"/>
        </w:numPr>
        <w:overflowPunct/>
        <w:autoSpaceDE/>
        <w:autoSpaceDN/>
        <w:adjustRightInd/>
        <w:spacing w:after="120"/>
        <w:ind w:left="266" w:hanging="266"/>
        <w:jc w:val="lowKashida"/>
        <w:textAlignment w:val="auto"/>
        <w:rPr>
          <w:noProof/>
        </w:rPr>
      </w:pPr>
      <w:r w:rsidRPr="004601D7">
        <w:rPr>
          <w:noProof/>
        </w:rPr>
        <w:t>There were 669 enterprises engaged in this activity in Palestine in 2019.</w:t>
      </w:r>
    </w:p>
    <w:p w:rsidR="00874FE8" w:rsidRPr="004601D7" w:rsidRDefault="00874FE8" w:rsidP="00902E44">
      <w:pPr>
        <w:numPr>
          <w:ilvl w:val="0"/>
          <w:numId w:val="2"/>
        </w:numPr>
        <w:overflowPunct/>
        <w:autoSpaceDE/>
        <w:autoSpaceDN/>
        <w:adjustRightInd/>
        <w:spacing w:after="120"/>
        <w:ind w:left="266" w:hanging="266"/>
        <w:jc w:val="lowKashida"/>
        <w:textAlignment w:val="auto"/>
        <w:rPr>
          <w:noProof/>
        </w:rPr>
      </w:pPr>
      <w:r w:rsidRPr="004601D7">
        <w:rPr>
          <w:noProof/>
        </w:rPr>
        <w:t xml:space="preserve">There were 10,230 employed persons in this activity in 2019. </w:t>
      </w:r>
    </w:p>
    <w:p w:rsidR="00874FE8" w:rsidRPr="004601D7" w:rsidRDefault="00874FE8" w:rsidP="00874FE8">
      <w:pPr>
        <w:numPr>
          <w:ilvl w:val="0"/>
          <w:numId w:val="2"/>
        </w:numPr>
        <w:overflowPunct/>
        <w:autoSpaceDE/>
        <w:autoSpaceDN/>
        <w:adjustRightInd/>
        <w:spacing w:after="120"/>
        <w:ind w:left="266" w:hanging="266"/>
        <w:jc w:val="lowKashida"/>
        <w:textAlignment w:val="auto"/>
        <w:rPr>
          <w:noProof/>
        </w:rPr>
      </w:pPr>
      <w:r w:rsidRPr="004601D7">
        <w:rPr>
          <w:noProof/>
        </w:rPr>
        <w:lastRenderedPageBreak/>
        <w:t>The value of the enterprises output in the construction activity was USD 500.3 million; intermediate consumption totaled USD 284.9 million; and the value added was USD 215.4</w:t>
      </w:r>
      <w:r w:rsidRPr="004601D7">
        <w:rPr>
          <w:noProof/>
          <w:rtl/>
        </w:rPr>
        <w:t xml:space="preserve"> </w:t>
      </w:r>
      <w:r w:rsidRPr="004601D7">
        <w:rPr>
          <w:noProof/>
        </w:rPr>
        <w:t>million in 2019.</w:t>
      </w:r>
    </w:p>
    <w:p w:rsidR="006064E5" w:rsidRPr="004601D7" w:rsidRDefault="006064E5" w:rsidP="006064E5">
      <w:pPr>
        <w:pStyle w:val="BodyText"/>
        <w:overflowPunct/>
        <w:autoSpaceDE/>
        <w:adjustRightInd/>
        <w:ind w:left="142"/>
        <w:jc w:val="lowKashida"/>
        <w:textAlignment w:val="auto"/>
        <w:rPr>
          <w:sz w:val="10"/>
          <w:szCs w:val="10"/>
          <w:rtl/>
        </w:rPr>
      </w:pPr>
    </w:p>
    <w:p w:rsidR="009E31F7" w:rsidRPr="004601D7" w:rsidRDefault="009E31F7" w:rsidP="009E31F7">
      <w:pPr>
        <w:pStyle w:val="Title"/>
        <w:bidi w:val="0"/>
        <w:ind w:left="-210" w:firstLine="210"/>
        <w:jc w:val="left"/>
        <w:rPr>
          <w:rFonts w:cs="Traditional Arabic"/>
          <w:sz w:val="20"/>
          <w:szCs w:val="20"/>
        </w:rPr>
      </w:pPr>
      <w:r w:rsidRPr="004601D7">
        <w:rPr>
          <w:rFonts w:cs="Traditional Arabic"/>
          <w:sz w:val="20"/>
          <w:szCs w:val="20"/>
        </w:rPr>
        <w:t>17.2 Building Licenses</w:t>
      </w:r>
    </w:p>
    <w:p w:rsidR="006263A0" w:rsidRPr="004601D7" w:rsidRDefault="006263A0" w:rsidP="006263A0">
      <w:pPr>
        <w:pStyle w:val="BodyText2"/>
        <w:numPr>
          <w:ilvl w:val="0"/>
          <w:numId w:val="2"/>
        </w:numPr>
        <w:overflowPunct/>
        <w:autoSpaceDE/>
        <w:autoSpaceDN/>
        <w:adjustRightInd/>
        <w:spacing w:after="120"/>
        <w:textAlignment w:val="auto"/>
        <w:rPr>
          <w:noProof/>
        </w:rPr>
      </w:pPr>
      <w:r w:rsidRPr="004601D7">
        <w:rPr>
          <w:noProof/>
        </w:rPr>
        <w:t xml:space="preserve">The total number of building licenses issued in 2019 decreased by 1.8% and the new dwellings increased by 2.6% compared with </w:t>
      </w:r>
      <w:bookmarkStart w:id="1" w:name="OLE_LINK12"/>
      <w:r w:rsidRPr="004601D7">
        <w:rPr>
          <w:noProof/>
        </w:rPr>
        <w:t xml:space="preserve">2018. </w:t>
      </w:r>
      <w:bookmarkEnd w:id="1"/>
    </w:p>
    <w:p w:rsidR="006064E5" w:rsidRPr="004601D7" w:rsidRDefault="006064E5" w:rsidP="00912D4D">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w:t>
      </w:r>
      <w:r w:rsidR="003C27F3" w:rsidRPr="004601D7">
        <w:rPr>
          <w:rFonts w:cs="Times New Roman"/>
          <w:b/>
          <w:bCs/>
          <w:i/>
          <w:iCs/>
          <w:sz w:val="18"/>
          <w:szCs w:val="18"/>
          <w:u w:val="single"/>
        </w:rPr>
        <w:t>s</w:t>
      </w:r>
      <w:r w:rsidRPr="004601D7">
        <w:rPr>
          <w:rFonts w:cs="Times New Roman"/>
          <w:b/>
          <w:bCs/>
          <w:i/>
          <w:iCs/>
          <w:sz w:val="18"/>
          <w:szCs w:val="18"/>
          <w:u w:val="single"/>
        </w:rPr>
        <w:t xml:space="preserve"> on construction, see the tables in chapter 1.</w:t>
      </w:r>
      <w:r w:rsidR="00DF5F9C" w:rsidRPr="004601D7">
        <w:rPr>
          <w:rFonts w:cs="Times New Roman"/>
          <w:b/>
          <w:bCs/>
          <w:i/>
          <w:iCs/>
          <w:sz w:val="18"/>
          <w:szCs w:val="18"/>
          <w:u w:val="single"/>
        </w:rPr>
        <w:t>1</w:t>
      </w:r>
      <w:r w:rsidR="00EE63BF" w:rsidRPr="004601D7">
        <w:rPr>
          <w:rFonts w:cs="Times New Roman"/>
          <w:b/>
          <w:bCs/>
          <w:i/>
          <w:iCs/>
          <w:sz w:val="18"/>
          <w:szCs w:val="18"/>
          <w:u w:val="single"/>
        </w:rPr>
        <w:t>7</w:t>
      </w:r>
      <w:r w:rsidR="00DF5F9C" w:rsidRPr="004601D7">
        <w:rPr>
          <w:rFonts w:cs="Times New Roman"/>
          <w:b/>
          <w:bCs/>
          <w:i/>
          <w:iCs/>
          <w:sz w:val="18"/>
          <w:szCs w:val="18"/>
          <w:u w:val="single"/>
        </w:rPr>
        <w:t xml:space="preserve"> </w:t>
      </w:r>
      <w:r w:rsidRPr="004601D7">
        <w:rPr>
          <w:rFonts w:cs="Times New Roman"/>
          <w:b/>
          <w:bCs/>
          <w:i/>
          <w:iCs/>
          <w:sz w:val="18"/>
          <w:szCs w:val="18"/>
          <w:u w:val="single"/>
        </w:rPr>
        <w:t>of the Arabic section, pages</w:t>
      </w:r>
      <w:r w:rsidRPr="004601D7">
        <w:rPr>
          <w:rFonts w:cs="Times New Roman"/>
          <w:b/>
          <w:bCs/>
          <w:i/>
          <w:iCs/>
          <w:sz w:val="18"/>
          <w:szCs w:val="18"/>
          <w:u w:val="single"/>
          <w:rtl/>
        </w:rPr>
        <w:t xml:space="preserve"> </w:t>
      </w:r>
      <w:r w:rsidR="00821E3B" w:rsidRPr="004601D7">
        <w:rPr>
          <w:rFonts w:cs="Times New Roman"/>
          <w:b/>
          <w:bCs/>
          <w:i/>
          <w:iCs/>
          <w:sz w:val="18"/>
          <w:szCs w:val="18"/>
          <w:u w:val="single"/>
        </w:rPr>
        <w:t xml:space="preserve">      </w:t>
      </w:r>
      <w:r w:rsidR="00426EE0" w:rsidRPr="004601D7">
        <w:rPr>
          <w:rFonts w:cs="Times New Roman"/>
          <w:b/>
          <w:bCs/>
          <w:i/>
          <w:iCs/>
          <w:sz w:val="18"/>
          <w:szCs w:val="18"/>
          <w:u w:val="single"/>
        </w:rPr>
        <w:t>1</w:t>
      </w:r>
      <w:r w:rsidR="001A0F85" w:rsidRPr="004601D7">
        <w:rPr>
          <w:rFonts w:cs="Times New Roman"/>
          <w:b/>
          <w:bCs/>
          <w:i/>
          <w:iCs/>
          <w:sz w:val="18"/>
          <w:szCs w:val="18"/>
          <w:u w:val="single"/>
        </w:rPr>
        <w:t>7</w:t>
      </w:r>
      <w:r w:rsidR="00912D4D">
        <w:rPr>
          <w:rFonts w:cs="Times New Roman"/>
          <w:b/>
          <w:bCs/>
          <w:i/>
          <w:iCs/>
          <w:sz w:val="18"/>
          <w:szCs w:val="18"/>
          <w:u w:val="single"/>
        </w:rPr>
        <w:t>1</w:t>
      </w:r>
      <w:r w:rsidRPr="004601D7">
        <w:rPr>
          <w:rFonts w:cs="Times New Roman"/>
          <w:b/>
          <w:bCs/>
          <w:i/>
          <w:iCs/>
          <w:sz w:val="18"/>
          <w:szCs w:val="18"/>
          <w:u w:val="single"/>
        </w:rPr>
        <w:t>-</w:t>
      </w:r>
      <w:r w:rsidR="00426EE0" w:rsidRPr="004601D7">
        <w:rPr>
          <w:rFonts w:cs="Times New Roman"/>
          <w:b/>
          <w:bCs/>
          <w:i/>
          <w:iCs/>
          <w:sz w:val="18"/>
          <w:szCs w:val="18"/>
          <w:u w:val="single"/>
        </w:rPr>
        <w:t>1</w:t>
      </w:r>
      <w:r w:rsidR="00912D4D">
        <w:rPr>
          <w:rFonts w:cs="Times New Roman"/>
          <w:b/>
          <w:bCs/>
          <w:i/>
          <w:iCs/>
          <w:sz w:val="18"/>
          <w:szCs w:val="18"/>
          <w:u w:val="single"/>
        </w:rPr>
        <w:t>76</w:t>
      </w:r>
      <w:r w:rsidRPr="004601D7">
        <w:rPr>
          <w:rFonts w:cs="Times New Roman"/>
          <w:b/>
          <w:bCs/>
          <w:i/>
          <w:iCs/>
          <w:sz w:val="18"/>
          <w:szCs w:val="18"/>
          <w:u w:val="single"/>
        </w:rPr>
        <w:t>.</w:t>
      </w:r>
    </w:p>
    <w:p w:rsidR="006064E5" w:rsidRPr="004601D7" w:rsidRDefault="006064E5" w:rsidP="006064E5">
      <w:pPr>
        <w:pStyle w:val="BodyText"/>
        <w:overflowPunct/>
        <w:autoSpaceDE/>
        <w:adjustRightInd/>
        <w:ind w:left="142"/>
        <w:jc w:val="lowKashida"/>
        <w:textAlignment w:val="auto"/>
        <w:rPr>
          <w:sz w:val="10"/>
          <w:szCs w:val="10"/>
        </w:rPr>
      </w:pPr>
    </w:p>
    <w:p w:rsidR="006064E5" w:rsidRPr="004601D7" w:rsidRDefault="006064E5" w:rsidP="006064E5">
      <w:pPr>
        <w:pStyle w:val="BodyText"/>
        <w:overflowPunct/>
        <w:autoSpaceDE/>
        <w:adjustRightInd/>
        <w:ind w:left="142"/>
        <w:jc w:val="lowKashida"/>
        <w:textAlignment w:val="auto"/>
        <w:rPr>
          <w:sz w:val="10"/>
          <w:szCs w:val="10"/>
        </w:rPr>
      </w:pPr>
    </w:p>
    <w:p w:rsidR="00AF1104" w:rsidRPr="004601D7" w:rsidRDefault="00AF1104" w:rsidP="00AF1104">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 xml:space="preserve">Industry                              </w:t>
      </w:r>
    </w:p>
    <w:p w:rsidR="008F58BA" w:rsidRPr="004601D7" w:rsidRDefault="008F58BA" w:rsidP="009E41DA">
      <w:pPr>
        <w:pStyle w:val="BodyText2"/>
        <w:numPr>
          <w:ilvl w:val="0"/>
          <w:numId w:val="2"/>
        </w:numPr>
        <w:overflowPunct/>
        <w:autoSpaceDE/>
        <w:autoSpaceDN/>
        <w:adjustRightInd/>
        <w:spacing w:after="120"/>
        <w:textAlignment w:val="auto"/>
        <w:rPr>
          <w:noProof/>
        </w:rPr>
      </w:pPr>
      <w:r w:rsidRPr="004601D7">
        <w:rPr>
          <w:noProof/>
        </w:rPr>
        <w:t xml:space="preserve">There were </w:t>
      </w:r>
      <w:r w:rsidR="00902E44" w:rsidRPr="004601D7">
        <w:rPr>
          <w:noProof/>
        </w:rPr>
        <w:t>20</w:t>
      </w:r>
      <w:r w:rsidRPr="004601D7">
        <w:rPr>
          <w:noProof/>
        </w:rPr>
        <w:t>,</w:t>
      </w:r>
      <w:r w:rsidR="00902E44" w:rsidRPr="004601D7">
        <w:rPr>
          <w:noProof/>
        </w:rPr>
        <w:t>710</w:t>
      </w:r>
      <w:r w:rsidRPr="004601D7">
        <w:rPr>
          <w:noProof/>
        </w:rPr>
        <w:t xml:space="preserve"> enterprises engaged in this sector in Palestine in </w:t>
      </w:r>
      <w:r w:rsidR="009E41DA" w:rsidRPr="004601D7">
        <w:rPr>
          <w:noProof/>
        </w:rPr>
        <w:t>2019</w:t>
      </w:r>
      <w:r w:rsidRPr="004601D7">
        <w:rPr>
          <w:noProof/>
        </w:rPr>
        <w:t>.</w:t>
      </w:r>
    </w:p>
    <w:p w:rsidR="008F58BA" w:rsidRPr="004601D7" w:rsidRDefault="008F58BA" w:rsidP="008F58BA">
      <w:pPr>
        <w:pStyle w:val="BodyText"/>
        <w:overflowPunct/>
        <w:autoSpaceDE/>
        <w:adjustRightInd/>
        <w:ind w:left="142"/>
        <w:jc w:val="lowKashida"/>
        <w:textAlignment w:val="auto"/>
        <w:rPr>
          <w:sz w:val="6"/>
          <w:szCs w:val="6"/>
        </w:rPr>
      </w:pPr>
    </w:p>
    <w:p w:rsidR="003E0444" w:rsidRPr="004601D7" w:rsidRDefault="003E0444" w:rsidP="003E0444">
      <w:pPr>
        <w:jc w:val="center"/>
        <w:rPr>
          <w:b/>
          <w:bCs/>
          <w:sz w:val="18"/>
          <w:szCs w:val="18"/>
          <w:rtl/>
        </w:rPr>
      </w:pPr>
      <w:r w:rsidRPr="004601D7">
        <w:rPr>
          <w:b/>
          <w:bCs/>
          <w:sz w:val="18"/>
          <w:szCs w:val="18"/>
        </w:rPr>
        <w:t>Main Economic Indicators for Industrial Activities, 2017-2019</w:t>
      </w:r>
    </w:p>
    <w:p w:rsidR="003E0444" w:rsidRPr="004601D7" w:rsidRDefault="003E0444" w:rsidP="003E0444">
      <w:pPr>
        <w:jc w:val="center"/>
        <w:rPr>
          <w:b/>
          <w:bCs/>
          <w:sz w:val="10"/>
          <w:szCs w:val="10"/>
        </w:rPr>
      </w:pPr>
    </w:p>
    <w:p w:rsidR="003E0444" w:rsidRPr="004601D7" w:rsidRDefault="003E0444" w:rsidP="003E0444">
      <w:pPr>
        <w:pStyle w:val="ListParagraph"/>
        <w:bidi w:val="0"/>
        <w:ind w:left="0"/>
        <w:jc w:val="center"/>
        <w:rPr>
          <w:rFonts w:ascii="Arial" w:hAnsi="Arial"/>
          <w:b/>
          <w:bCs/>
          <w:sz w:val="16"/>
          <w:szCs w:val="16"/>
          <w:rtl/>
        </w:rPr>
      </w:pPr>
      <w:r w:rsidRPr="004601D7">
        <w:rPr>
          <w:bdr w:val="single" w:sz="4" w:space="0" w:color="auto" w:frame="1"/>
        </w:rPr>
        <w:drawing>
          <wp:inline distT="0" distB="0" distL="0" distR="0" wp14:anchorId="63A26FB4" wp14:editId="69A43CC8">
            <wp:extent cx="4013200" cy="1517650"/>
            <wp:effectExtent l="0" t="0" r="0" b="0"/>
            <wp:docPr id="7"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E0444" w:rsidRPr="004601D7" w:rsidRDefault="003E0444" w:rsidP="003E0444">
      <w:pPr>
        <w:pStyle w:val="BodyText"/>
        <w:overflowPunct/>
        <w:autoSpaceDE/>
        <w:adjustRightInd/>
        <w:ind w:left="142"/>
        <w:jc w:val="lowKashida"/>
        <w:textAlignment w:val="auto"/>
        <w:rPr>
          <w:sz w:val="10"/>
          <w:szCs w:val="10"/>
        </w:rPr>
      </w:pPr>
    </w:p>
    <w:p w:rsidR="008F58BA" w:rsidRPr="004601D7" w:rsidRDefault="008F58BA" w:rsidP="008F58BA">
      <w:pPr>
        <w:pStyle w:val="BodyText"/>
        <w:overflowPunct/>
        <w:autoSpaceDE/>
        <w:adjustRightInd/>
        <w:ind w:left="142"/>
        <w:jc w:val="lowKashida"/>
        <w:textAlignment w:val="auto"/>
        <w:rPr>
          <w:sz w:val="10"/>
          <w:szCs w:val="10"/>
        </w:rPr>
      </w:pPr>
    </w:p>
    <w:p w:rsidR="00874FE8" w:rsidRPr="004601D7" w:rsidRDefault="00874FE8" w:rsidP="001A3D25">
      <w:pPr>
        <w:pStyle w:val="BodyText2"/>
        <w:numPr>
          <w:ilvl w:val="0"/>
          <w:numId w:val="2"/>
        </w:numPr>
        <w:overflowPunct/>
        <w:autoSpaceDE/>
        <w:autoSpaceDN/>
        <w:adjustRightInd/>
        <w:spacing w:after="120"/>
        <w:textAlignment w:val="auto"/>
        <w:rPr>
          <w:noProof/>
        </w:rPr>
      </w:pPr>
      <w:r w:rsidRPr="004601D7">
        <w:rPr>
          <w:noProof/>
        </w:rPr>
        <w:t xml:space="preserve">There were </w:t>
      </w:r>
      <w:r w:rsidRPr="004601D7">
        <w:rPr>
          <w:rFonts w:hint="cs"/>
          <w:noProof/>
          <w:rtl/>
        </w:rPr>
        <w:t>121</w:t>
      </w:r>
      <w:r w:rsidR="00902E44" w:rsidRPr="004601D7">
        <w:rPr>
          <w:noProof/>
        </w:rPr>
        <w:t>,</w:t>
      </w:r>
      <w:r w:rsidRPr="004601D7">
        <w:rPr>
          <w:rFonts w:hint="cs"/>
          <w:noProof/>
          <w:rtl/>
        </w:rPr>
        <w:t>763</w:t>
      </w:r>
      <w:r w:rsidRPr="004601D7">
        <w:rPr>
          <w:noProof/>
        </w:rPr>
        <w:t xml:space="preserve"> </w:t>
      </w:r>
      <w:r w:rsidRPr="004601D7">
        <w:rPr>
          <w:noProof/>
          <w:rtl/>
        </w:rPr>
        <w:t xml:space="preserve"> </w:t>
      </w:r>
      <w:r w:rsidRPr="004601D7">
        <w:rPr>
          <w:noProof/>
        </w:rPr>
        <w:t xml:space="preserve">employed persons in this sector in </w:t>
      </w:r>
      <w:r w:rsidRPr="004601D7">
        <w:rPr>
          <w:rFonts w:hint="cs"/>
          <w:noProof/>
          <w:rtl/>
        </w:rPr>
        <w:t>2019</w:t>
      </w:r>
      <w:r w:rsidRPr="004601D7">
        <w:rPr>
          <w:noProof/>
        </w:rPr>
        <w:t>.</w:t>
      </w:r>
    </w:p>
    <w:p w:rsidR="00874FE8" w:rsidRPr="004601D7" w:rsidRDefault="00874FE8" w:rsidP="001A3D25">
      <w:pPr>
        <w:pStyle w:val="BodyText2"/>
        <w:numPr>
          <w:ilvl w:val="0"/>
          <w:numId w:val="2"/>
        </w:numPr>
        <w:overflowPunct/>
        <w:autoSpaceDE/>
        <w:autoSpaceDN/>
        <w:adjustRightInd/>
        <w:spacing w:after="120"/>
        <w:textAlignment w:val="auto"/>
        <w:rPr>
          <w:noProof/>
        </w:rPr>
      </w:pPr>
      <w:r w:rsidRPr="004601D7">
        <w:rPr>
          <w:noProof/>
        </w:rPr>
        <w:t xml:space="preserve">The value of the enterprises output in industrial activities was USD </w:t>
      </w:r>
      <w:r w:rsidRPr="004601D7">
        <w:rPr>
          <w:rFonts w:hint="cs"/>
          <w:noProof/>
          <w:rtl/>
        </w:rPr>
        <w:t>5</w:t>
      </w:r>
      <w:r w:rsidRPr="004601D7">
        <w:rPr>
          <w:noProof/>
        </w:rPr>
        <w:t>,</w:t>
      </w:r>
      <w:r w:rsidRPr="004601D7">
        <w:rPr>
          <w:rFonts w:hint="cs"/>
          <w:noProof/>
          <w:rtl/>
        </w:rPr>
        <w:t>144.9</w:t>
      </w:r>
      <w:r w:rsidRPr="004601D7">
        <w:rPr>
          <w:noProof/>
        </w:rPr>
        <w:t xml:space="preserve"> </w:t>
      </w:r>
      <w:r w:rsidRPr="004601D7">
        <w:rPr>
          <w:noProof/>
          <w:rtl/>
        </w:rPr>
        <w:t xml:space="preserve"> </w:t>
      </w:r>
      <w:r w:rsidRPr="004601D7">
        <w:rPr>
          <w:noProof/>
        </w:rPr>
        <w:t>million, intermediate consumption totaled USD 2,866.1</w:t>
      </w:r>
      <w:r w:rsidRPr="004601D7">
        <w:rPr>
          <w:noProof/>
          <w:rtl/>
        </w:rPr>
        <w:t xml:space="preserve"> </w:t>
      </w:r>
      <w:r w:rsidRPr="004601D7">
        <w:rPr>
          <w:noProof/>
        </w:rPr>
        <w:t xml:space="preserve">million, and the value added was USD 2,278.8 million in </w:t>
      </w:r>
      <w:r w:rsidR="00902E44" w:rsidRPr="004601D7">
        <w:rPr>
          <w:noProof/>
        </w:rPr>
        <w:t>2019</w:t>
      </w:r>
      <w:r w:rsidRPr="004601D7">
        <w:rPr>
          <w:noProof/>
        </w:rPr>
        <w:t>.</w:t>
      </w:r>
    </w:p>
    <w:p w:rsidR="006064E5" w:rsidRPr="004601D7" w:rsidRDefault="006064E5" w:rsidP="00912D4D">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industry, see the tables in chapter 1.</w:t>
      </w:r>
      <w:r w:rsidR="006304DF" w:rsidRPr="004601D7">
        <w:rPr>
          <w:rFonts w:cs="Times New Roman"/>
          <w:b/>
          <w:bCs/>
          <w:i/>
          <w:iCs/>
          <w:sz w:val="18"/>
          <w:szCs w:val="18"/>
          <w:u w:val="single"/>
        </w:rPr>
        <w:t>1</w:t>
      </w:r>
      <w:r w:rsidR="00EE63BF" w:rsidRPr="004601D7">
        <w:rPr>
          <w:rFonts w:cs="Times New Roman"/>
          <w:b/>
          <w:bCs/>
          <w:i/>
          <w:iCs/>
          <w:sz w:val="18"/>
          <w:szCs w:val="18"/>
          <w:u w:val="single"/>
        </w:rPr>
        <w:t>8</w:t>
      </w:r>
      <w:r w:rsidRPr="004601D7">
        <w:rPr>
          <w:rFonts w:cs="Times New Roman"/>
          <w:b/>
          <w:bCs/>
          <w:i/>
          <w:iCs/>
          <w:sz w:val="18"/>
          <w:szCs w:val="18"/>
          <w:u w:val="single"/>
        </w:rPr>
        <w:t xml:space="preserve"> of the Arabic section, pages </w:t>
      </w:r>
      <w:r w:rsidR="00426EE0" w:rsidRPr="004601D7">
        <w:rPr>
          <w:rFonts w:cs="Times New Roman"/>
          <w:b/>
          <w:bCs/>
          <w:i/>
          <w:iCs/>
          <w:sz w:val="18"/>
          <w:szCs w:val="18"/>
          <w:u w:val="single"/>
        </w:rPr>
        <w:t>1</w:t>
      </w:r>
      <w:r w:rsidR="00912D4D">
        <w:rPr>
          <w:rFonts w:cs="Times New Roman"/>
          <w:b/>
          <w:bCs/>
          <w:i/>
          <w:iCs/>
          <w:sz w:val="18"/>
          <w:szCs w:val="18"/>
          <w:u w:val="single"/>
        </w:rPr>
        <w:t>77</w:t>
      </w:r>
      <w:r w:rsidRPr="004601D7">
        <w:rPr>
          <w:rFonts w:cs="Times New Roman"/>
          <w:b/>
          <w:bCs/>
          <w:i/>
          <w:iCs/>
          <w:sz w:val="18"/>
          <w:szCs w:val="18"/>
          <w:u w:val="single"/>
        </w:rPr>
        <w:t>-</w:t>
      </w:r>
      <w:r w:rsidR="00426EE0" w:rsidRPr="004601D7">
        <w:rPr>
          <w:rFonts w:cs="Times New Roman"/>
          <w:b/>
          <w:bCs/>
          <w:i/>
          <w:iCs/>
          <w:sz w:val="18"/>
          <w:szCs w:val="18"/>
          <w:u w:val="single"/>
        </w:rPr>
        <w:t>1</w:t>
      </w:r>
      <w:r w:rsidR="001A0F85" w:rsidRPr="004601D7">
        <w:rPr>
          <w:rFonts w:cs="Times New Roman"/>
          <w:b/>
          <w:bCs/>
          <w:i/>
          <w:iCs/>
          <w:sz w:val="18"/>
          <w:szCs w:val="18"/>
          <w:u w:val="single"/>
        </w:rPr>
        <w:t>8</w:t>
      </w:r>
      <w:r w:rsidR="00912D4D">
        <w:rPr>
          <w:rFonts w:cs="Times New Roman"/>
          <w:b/>
          <w:bCs/>
          <w:i/>
          <w:iCs/>
          <w:sz w:val="18"/>
          <w:szCs w:val="18"/>
          <w:u w:val="single"/>
        </w:rPr>
        <w:t>0</w:t>
      </w:r>
      <w:r w:rsidRPr="004601D7">
        <w:rPr>
          <w:rFonts w:cs="Times New Roman"/>
          <w:b/>
          <w:bCs/>
          <w:i/>
          <w:iCs/>
          <w:sz w:val="18"/>
          <w:szCs w:val="18"/>
          <w:u w:val="single"/>
        </w:rPr>
        <w:t>.</w:t>
      </w:r>
    </w:p>
    <w:p w:rsidR="00980C3D" w:rsidRPr="004601D7" w:rsidRDefault="00980C3D" w:rsidP="00980C3D">
      <w:pPr>
        <w:pStyle w:val="Title"/>
        <w:tabs>
          <w:tab w:val="right" w:pos="308"/>
        </w:tabs>
        <w:bidi w:val="0"/>
        <w:jc w:val="left"/>
        <w:rPr>
          <w:rFonts w:cs="Traditional Arabic"/>
          <w:sz w:val="20"/>
          <w:szCs w:val="20"/>
        </w:rPr>
      </w:pPr>
    </w:p>
    <w:p w:rsidR="001804B8" w:rsidRPr="004601D7" w:rsidRDefault="001804B8" w:rsidP="00151705">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Transport and Commuincation</w:t>
      </w:r>
    </w:p>
    <w:p w:rsidR="008A7579" w:rsidRPr="004601D7" w:rsidRDefault="008A7579" w:rsidP="008A7579">
      <w:pPr>
        <w:pStyle w:val="Title"/>
        <w:bidi w:val="0"/>
        <w:ind w:left="-210" w:firstLine="210"/>
        <w:jc w:val="left"/>
        <w:rPr>
          <w:rFonts w:cs="Traditional Arabic"/>
          <w:sz w:val="20"/>
          <w:szCs w:val="20"/>
        </w:rPr>
      </w:pPr>
      <w:r w:rsidRPr="004601D7">
        <w:rPr>
          <w:rFonts w:cs="Traditional Arabic"/>
          <w:sz w:val="20"/>
          <w:szCs w:val="20"/>
        </w:rPr>
        <w:t xml:space="preserve">19.1 Transport and Storage                               </w:t>
      </w:r>
    </w:p>
    <w:p w:rsidR="00874FE8" w:rsidRPr="004601D7" w:rsidRDefault="00874FE8" w:rsidP="00874FE8">
      <w:pPr>
        <w:numPr>
          <w:ilvl w:val="0"/>
          <w:numId w:val="20"/>
        </w:numPr>
        <w:overflowPunct/>
        <w:autoSpaceDE/>
        <w:adjustRightInd/>
        <w:spacing w:after="120"/>
        <w:ind w:left="266" w:hanging="266"/>
        <w:jc w:val="lowKashida"/>
        <w:textAlignment w:val="auto"/>
        <w:rPr>
          <w:noProof/>
        </w:rPr>
      </w:pPr>
      <w:r w:rsidRPr="004601D7">
        <w:rPr>
          <w:noProof/>
        </w:rPr>
        <w:t>There were 1,070 enterprises engaged in this activity in Palestine in 2019.</w:t>
      </w:r>
    </w:p>
    <w:p w:rsidR="00874FE8" w:rsidRPr="004601D7" w:rsidRDefault="00874FE8" w:rsidP="00874FE8">
      <w:pPr>
        <w:numPr>
          <w:ilvl w:val="0"/>
          <w:numId w:val="20"/>
        </w:numPr>
        <w:overflowPunct/>
        <w:autoSpaceDE/>
        <w:adjustRightInd/>
        <w:spacing w:after="120"/>
        <w:ind w:left="266" w:hanging="266"/>
        <w:jc w:val="lowKashida"/>
        <w:textAlignment w:val="auto"/>
        <w:rPr>
          <w:noProof/>
        </w:rPr>
      </w:pPr>
      <w:r w:rsidRPr="004601D7">
        <w:rPr>
          <w:noProof/>
        </w:rPr>
        <w:t>There were 8,395</w:t>
      </w:r>
      <w:r w:rsidRPr="004601D7">
        <w:rPr>
          <w:noProof/>
          <w:rtl/>
        </w:rPr>
        <w:t xml:space="preserve"> </w:t>
      </w:r>
      <w:r w:rsidRPr="004601D7">
        <w:rPr>
          <w:noProof/>
        </w:rPr>
        <w:t>employed persons in this activity in 2019.</w:t>
      </w:r>
    </w:p>
    <w:p w:rsidR="00874FE8" w:rsidRPr="004601D7" w:rsidRDefault="00874FE8" w:rsidP="00874FE8">
      <w:pPr>
        <w:numPr>
          <w:ilvl w:val="0"/>
          <w:numId w:val="20"/>
        </w:numPr>
        <w:overflowPunct/>
        <w:autoSpaceDE/>
        <w:adjustRightInd/>
        <w:spacing w:after="120"/>
        <w:ind w:left="266" w:hanging="266"/>
        <w:jc w:val="lowKashida"/>
        <w:textAlignment w:val="auto"/>
        <w:rPr>
          <w:noProof/>
        </w:rPr>
      </w:pPr>
      <w:r w:rsidRPr="004601D7">
        <w:rPr>
          <w:noProof/>
        </w:rPr>
        <w:t>The value of the enterprises output in transport and storage activities was USD 223.2 million; intermediate consumption was USD 84.7 million; and the value added was USD 138.4 million in 2019.</w:t>
      </w:r>
    </w:p>
    <w:p w:rsidR="009E41DA" w:rsidRPr="004601D7" w:rsidRDefault="009E41DA" w:rsidP="00874FE8">
      <w:pPr>
        <w:pStyle w:val="Title"/>
        <w:bidi w:val="0"/>
        <w:ind w:left="-210" w:firstLine="210"/>
        <w:jc w:val="left"/>
        <w:rPr>
          <w:rFonts w:cs="Traditional Arabic"/>
          <w:sz w:val="20"/>
          <w:szCs w:val="20"/>
        </w:rPr>
      </w:pPr>
    </w:p>
    <w:p w:rsidR="00874FE8" w:rsidRPr="004601D7" w:rsidRDefault="00874FE8" w:rsidP="009E41DA">
      <w:pPr>
        <w:pStyle w:val="Title"/>
        <w:bidi w:val="0"/>
        <w:ind w:left="-210" w:firstLine="210"/>
        <w:jc w:val="left"/>
        <w:rPr>
          <w:rFonts w:cs="Traditional Arabic"/>
          <w:sz w:val="20"/>
          <w:szCs w:val="20"/>
        </w:rPr>
      </w:pPr>
      <w:r w:rsidRPr="004601D7">
        <w:rPr>
          <w:rFonts w:cs="Traditional Arabic"/>
          <w:sz w:val="20"/>
          <w:szCs w:val="20"/>
        </w:rPr>
        <w:t>19.2 Information and Communications</w:t>
      </w:r>
    </w:p>
    <w:p w:rsidR="00874FE8" w:rsidRPr="004601D7" w:rsidRDefault="00874FE8" w:rsidP="009E41DA">
      <w:pPr>
        <w:numPr>
          <w:ilvl w:val="0"/>
          <w:numId w:val="20"/>
        </w:numPr>
        <w:overflowPunct/>
        <w:autoSpaceDE/>
        <w:adjustRightInd/>
        <w:spacing w:after="120"/>
        <w:ind w:left="266" w:hanging="266"/>
        <w:jc w:val="lowKashida"/>
        <w:textAlignment w:val="auto"/>
        <w:rPr>
          <w:noProof/>
        </w:rPr>
      </w:pPr>
      <w:r w:rsidRPr="004601D7">
        <w:rPr>
          <w:noProof/>
        </w:rPr>
        <w:t>There were 68</w:t>
      </w:r>
      <w:r w:rsidR="009E41DA" w:rsidRPr="004601D7">
        <w:rPr>
          <w:noProof/>
        </w:rPr>
        <w:t>4</w:t>
      </w:r>
      <w:r w:rsidRPr="004601D7">
        <w:rPr>
          <w:noProof/>
        </w:rPr>
        <w:t xml:space="preserve"> enterprises engaged in this activity in Palestine in 2019.</w:t>
      </w:r>
    </w:p>
    <w:p w:rsidR="00874FE8" w:rsidRPr="004601D7" w:rsidRDefault="00874FE8" w:rsidP="009E41DA">
      <w:pPr>
        <w:numPr>
          <w:ilvl w:val="0"/>
          <w:numId w:val="20"/>
        </w:numPr>
        <w:overflowPunct/>
        <w:autoSpaceDE/>
        <w:adjustRightInd/>
        <w:spacing w:after="120"/>
        <w:ind w:left="266" w:hanging="266"/>
        <w:jc w:val="lowKashida"/>
        <w:textAlignment w:val="auto"/>
        <w:rPr>
          <w:noProof/>
        </w:rPr>
      </w:pPr>
      <w:r w:rsidRPr="004601D7">
        <w:rPr>
          <w:noProof/>
        </w:rPr>
        <w:t xml:space="preserve"> There were 8,78</w:t>
      </w:r>
      <w:r w:rsidR="009E41DA" w:rsidRPr="004601D7">
        <w:rPr>
          <w:noProof/>
        </w:rPr>
        <w:t>1</w:t>
      </w:r>
      <w:r w:rsidRPr="004601D7">
        <w:rPr>
          <w:noProof/>
        </w:rPr>
        <w:t xml:space="preserve"> employed persons in this activity in 2019</w:t>
      </w:r>
      <w:r w:rsidRPr="004601D7">
        <w:rPr>
          <w:rFonts w:hint="cs"/>
          <w:noProof/>
          <w:rtl/>
        </w:rPr>
        <w:t>.</w:t>
      </w:r>
    </w:p>
    <w:p w:rsidR="00874FE8" w:rsidRPr="004601D7" w:rsidRDefault="00874FE8" w:rsidP="00874FE8">
      <w:pPr>
        <w:numPr>
          <w:ilvl w:val="0"/>
          <w:numId w:val="20"/>
        </w:numPr>
        <w:overflowPunct/>
        <w:autoSpaceDE/>
        <w:adjustRightInd/>
        <w:spacing w:after="120"/>
        <w:ind w:left="266" w:hanging="266"/>
        <w:jc w:val="lowKashida"/>
        <w:textAlignment w:val="auto"/>
        <w:rPr>
          <w:noProof/>
        </w:rPr>
      </w:pPr>
      <w:r w:rsidRPr="004601D7">
        <w:rPr>
          <w:noProof/>
        </w:rPr>
        <w:lastRenderedPageBreak/>
        <w:t>The value of the enterprises output in information and communication activities was USD 666.2 million; intermediate consumption was USD 134.2</w:t>
      </w:r>
      <w:r w:rsidRPr="004601D7">
        <w:rPr>
          <w:noProof/>
          <w:rtl/>
        </w:rPr>
        <w:t xml:space="preserve"> </w:t>
      </w:r>
      <w:r w:rsidRPr="004601D7">
        <w:rPr>
          <w:noProof/>
        </w:rPr>
        <w:t xml:space="preserve"> million; and the value added was USD 531.9 million in 2019.</w:t>
      </w:r>
    </w:p>
    <w:p w:rsidR="00F126B1" w:rsidRPr="004601D7" w:rsidRDefault="00F126B1" w:rsidP="00912D4D">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 xml:space="preserve">For more details on </w:t>
      </w:r>
      <w:r w:rsidR="00980C3D" w:rsidRPr="004601D7">
        <w:rPr>
          <w:rFonts w:cs="Times New Roman"/>
          <w:b/>
          <w:bCs/>
          <w:i/>
          <w:iCs/>
          <w:sz w:val="18"/>
          <w:szCs w:val="18"/>
          <w:u w:val="single"/>
        </w:rPr>
        <w:t>transport</w:t>
      </w:r>
      <w:r w:rsidR="00D57C6C" w:rsidRPr="004601D7">
        <w:rPr>
          <w:rFonts w:cs="Times New Roman"/>
          <w:b/>
          <w:bCs/>
          <w:i/>
          <w:iCs/>
          <w:sz w:val="18"/>
          <w:szCs w:val="18"/>
          <w:u w:val="single"/>
        </w:rPr>
        <w:t xml:space="preserve"> and Communications</w:t>
      </w:r>
      <w:r w:rsidRPr="004601D7">
        <w:rPr>
          <w:rFonts w:cs="Times New Roman"/>
          <w:b/>
          <w:bCs/>
          <w:i/>
          <w:iCs/>
          <w:sz w:val="18"/>
          <w:szCs w:val="18"/>
          <w:u w:val="single"/>
        </w:rPr>
        <w:t>, see the tables in chapter 1.</w:t>
      </w:r>
      <w:r w:rsidR="00DE12F8" w:rsidRPr="004601D7">
        <w:rPr>
          <w:rFonts w:cs="Times New Roman"/>
          <w:b/>
          <w:bCs/>
          <w:i/>
          <w:iCs/>
          <w:sz w:val="18"/>
          <w:szCs w:val="18"/>
          <w:u w:val="single"/>
        </w:rPr>
        <w:t>1</w:t>
      </w:r>
      <w:r w:rsidR="00EE63BF" w:rsidRPr="004601D7">
        <w:rPr>
          <w:rFonts w:cs="Times New Roman"/>
          <w:b/>
          <w:bCs/>
          <w:i/>
          <w:iCs/>
          <w:sz w:val="18"/>
          <w:szCs w:val="18"/>
          <w:u w:val="single"/>
        </w:rPr>
        <w:t>9</w:t>
      </w:r>
      <w:r w:rsidRPr="004601D7">
        <w:rPr>
          <w:rFonts w:cs="Times New Roman"/>
          <w:b/>
          <w:bCs/>
          <w:i/>
          <w:iCs/>
          <w:sz w:val="18"/>
          <w:szCs w:val="18"/>
          <w:u w:val="single"/>
        </w:rPr>
        <w:t xml:space="preserve"> of the Arabic section, pages</w:t>
      </w:r>
      <w:r w:rsidRPr="004601D7">
        <w:rPr>
          <w:rFonts w:cs="Times New Roman"/>
          <w:b/>
          <w:bCs/>
          <w:i/>
          <w:iCs/>
          <w:sz w:val="18"/>
          <w:szCs w:val="18"/>
          <w:u w:val="single"/>
          <w:rtl/>
        </w:rPr>
        <w:t xml:space="preserve"> </w:t>
      </w:r>
      <w:r w:rsidR="00426EE0" w:rsidRPr="004601D7">
        <w:rPr>
          <w:rFonts w:cs="Times New Roman"/>
          <w:b/>
          <w:bCs/>
          <w:i/>
          <w:iCs/>
          <w:sz w:val="18"/>
          <w:szCs w:val="18"/>
          <w:u w:val="single"/>
        </w:rPr>
        <w:t>1</w:t>
      </w:r>
      <w:r w:rsidR="001A0F85" w:rsidRPr="004601D7">
        <w:rPr>
          <w:rFonts w:cs="Times New Roman"/>
          <w:b/>
          <w:bCs/>
          <w:i/>
          <w:iCs/>
          <w:sz w:val="18"/>
          <w:szCs w:val="18"/>
          <w:u w:val="single"/>
        </w:rPr>
        <w:t>8</w:t>
      </w:r>
      <w:r w:rsidR="00912D4D">
        <w:rPr>
          <w:rFonts w:cs="Times New Roman"/>
          <w:b/>
          <w:bCs/>
          <w:i/>
          <w:iCs/>
          <w:sz w:val="18"/>
          <w:szCs w:val="18"/>
          <w:u w:val="single"/>
        </w:rPr>
        <w:t>1</w:t>
      </w:r>
      <w:r w:rsidRPr="004601D7">
        <w:rPr>
          <w:rFonts w:cs="Times New Roman"/>
          <w:b/>
          <w:bCs/>
          <w:i/>
          <w:iCs/>
          <w:sz w:val="18"/>
          <w:szCs w:val="18"/>
          <w:u w:val="single"/>
        </w:rPr>
        <w:t>-</w:t>
      </w:r>
      <w:r w:rsidR="001A0F85" w:rsidRPr="004601D7">
        <w:rPr>
          <w:rFonts w:cs="Times New Roman"/>
          <w:b/>
          <w:bCs/>
          <w:i/>
          <w:iCs/>
          <w:sz w:val="18"/>
          <w:szCs w:val="18"/>
          <w:u w:val="single"/>
        </w:rPr>
        <w:t>19</w:t>
      </w:r>
      <w:r w:rsidR="00912D4D">
        <w:rPr>
          <w:rFonts w:cs="Times New Roman"/>
          <w:b/>
          <w:bCs/>
          <w:i/>
          <w:iCs/>
          <w:sz w:val="18"/>
          <w:szCs w:val="18"/>
          <w:u w:val="single"/>
        </w:rPr>
        <w:t>0</w:t>
      </w:r>
      <w:r w:rsidRPr="004601D7">
        <w:rPr>
          <w:rFonts w:cs="Times New Roman"/>
          <w:b/>
          <w:bCs/>
          <w:i/>
          <w:iCs/>
          <w:sz w:val="18"/>
          <w:szCs w:val="18"/>
          <w:u w:val="single"/>
        </w:rPr>
        <w:t>.</w:t>
      </w:r>
    </w:p>
    <w:p w:rsidR="00950832" w:rsidRPr="004601D7" w:rsidRDefault="00950832" w:rsidP="00950832">
      <w:pPr>
        <w:pStyle w:val="ListParagraph"/>
        <w:bidi w:val="0"/>
        <w:ind w:left="0"/>
        <w:jc w:val="lowKashida"/>
        <w:rPr>
          <w:rFonts w:cs="Times New Roman"/>
          <w:i/>
          <w:iCs/>
          <w:sz w:val="20"/>
          <w:u w:val="single"/>
        </w:rPr>
      </w:pPr>
    </w:p>
    <w:p w:rsidR="00377785" w:rsidRPr="004601D7" w:rsidRDefault="00377785" w:rsidP="00377785">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 xml:space="preserve">Tourism                           </w:t>
      </w:r>
    </w:p>
    <w:p w:rsidR="0026040C" w:rsidRPr="004601D7" w:rsidRDefault="0026040C" w:rsidP="00225FCE">
      <w:pPr>
        <w:numPr>
          <w:ilvl w:val="0"/>
          <w:numId w:val="20"/>
        </w:numPr>
        <w:overflowPunct/>
        <w:autoSpaceDE/>
        <w:adjustRightInd/>
        <w:spacing w:after="120"/>
        <w:ind w:left="266" w:hanging="266"/>
        <w:jc w:val="lowKashida"/>
        <w:textAlignment w:val="auto"/>
        <w:rPr>
          <w:noProof/>
        </w:rPr>
      </w:pPr>
      <w:r w:rsidRPr="004601D7">
        <w:rPr>
          <w:noProof/>
        </w:rPr>
        <w:t xml:space="preserve">There were 125 operating hotels in 2019 with </w:t>
      </w:r>
      <w:r w:rsidRPr="004601D7">
        <w:rPr>
          <w:rFonts w:hint="cs"/>
          <w:noProof/>
          <w:rtl/>
        </w:rPr>
        <w:t>7</w:t>
      </w:r>
      <w:r w:rsidRPr="004601D7">
        <w:rPr>
          <w:noProof/>
        </w:rPr>
        <w:t>,</w:t>
      </w:r>
      <w:r w:rsidRPr="004601D7">
        <w:rPr>
          <w:rFonts w:hint="cs"/>
          <w:noProof/>
          <w:rtl/>
        </w:rPr>
        <w:t xml:space="preserve">245 </w:t>
      </w:r>
      <w:r w:rsidRPr="004601D7">
        <w:rPr>
          <w:rFonts w:hint="cs"/>
          <w:noProof/>
        </w:rPr>
        <w:t xml:space="preserve"> </w:t>
      </w:r>
      <w:r w:rsidRPr="004601D7">
        <w:rPr>
          <w:noProof/>
        </w:rPr>
        <w:t>rooms in total and 1</w:t>
      </w:r>
      <w:r w:rsidR="00902E44" w:rsidRPr="004601D7">
        <w:rPr>
          <w:noProof/>
        </w:rPr>
        <w:t>5</w:t>
      </w:r>
      <w:r w:rsidRPr="004601D7">
        <w:rPr>
          <w:noProof/>
        </w:rPr>
        <w:t>,770 beds.</w:t>
      </w:r>
    </w:p>
    <w:p w:rsidR="0026040C" w:rsidRPr="004601D7" w:rsidRDefault="0026040C" w:rsidP="00225FCE">
      <w:pPr>
        <w:numPr>
          <w:ilvl w:val="0"/>
          <w:numId w:val="20"/>
        </w:numPr>
        <w:overflowPunct/>
        <w:autoSpaceDE/>
        <w:adjustRightInd/>
        <w:spacing w:after="120"/>
        <w:ind w:left="266" w:hanging="266"/>
        <w:jc w:val="lowKashida"/>
        <w:textAlignment w:val="auto"/>
        <w:rPr>
          <w:noProof/>
        </w:rPr>
      </w:pPr>
      <w:r w:rsidRPr="004601D7">
        <w:rPr>
          <w:noProof/>
        </w:rPr>
        <w:t>During 2019, the total number of guests in operating hotels in the West Bank was 746,911.</w:t>
      </w:r>
    </w:p>
    <w:p w:rsidR="0026040C" w:rsidRPr="004601D7" w:rsidRDefault="0026040C" w:rsidP="00225FCE">
      <w:pPr>
        <w:numPr>
          <w:ilvl w:val="0"/>
          <w:numId w:val="20"/>
        </w:numPr>
        <w:overflowPunct/>
        <w:autoSpaceDE/>
        <w:adjustRightInd/>
        <w:spacing w:after="120"/>
        <w:ind w:left="266" w:hanging="266"/>
        <w:jc w:val="lowKashida"/>
        <w:textAlignment w:val="auto"/>
        <w:rPr>
          <w:noProof/>
        </w:rPr>
      </w:pPr>
      <w:r w:rsidRPr="004601D7">
        <w:rPr>
          <w:noProof/>
        </w:rPr>
        <w:t xml:space="preserve">The total number of guest nights was 2,009,934 during 2019. </w:t>
      </w:r>
    </w:p>
    <w:p w:rsidR="0026040C" w:rsidRPr="004601D7" w:rsidRDefault="0026040C" w:rsidP="009E41DA">
      <w:pPr>
        <w:numPr>
          <w:ilvl w:val="0"/>
          <w:numId w:val="20"/>
        </w:numPr>
        <w:overflowPunct/>
        <w:autoSpaceDE/>
        <w:adjustRightInd/>
        <w:spacing w:after="120"/>
        <w:ind w:left="266" w:hanging="266"/>
        <w:jc w:val="lowKashida"/>
        <w:textAlignment w:val="auto"/>
        <w:rPr>
          <w:noProof/>
        </w:rPr>
      </w:pPr>
      <w:r w:rsidRPr="004601D7">
        <w:rPr>
          <w:noProof/>
        </w:rPr>
        <w:t>The average number of employed persons were</w:t>
      </w:r>
      <w:r w:rsidR="009E41DA" w:rsidRPr="004601D7">
        <w:rPr>
          <w:noProof/>
        </w:rPr>
        <w:t xml:space="preserve"> 3,025 </w:t>
      </w:r>
      <w:r w:rsidRPr="004601D7">
        <w:rPr>
          <w:noProof/>
        </w:rPr>
        <w:t>hotel workers: 2,319 males and 706</w:t>
      </w:r>
      <w:r w:rsidRPr="004601D7">
        <w:rPr>
          <w:noProof/>
          <w:rtl/>
        </w:rPr>
        <w:t xml:space="preserve"> </w:t>
      </w:r>
      <w:r w:rsidRPr="004601D7">
        <w:rPr>
          <w:noProof/>
        </w:rPr>
        <w:t>females.</w:t>
      </w:r>
    </w:p>
    <w:p w:rsidR="0026040C" w:rsidRPr="004601D7" w:rsidRDefault="0026040C" w:rsidP="00225FCE">
      <w:pPr>
        <w:numPr>
          <w:ilvl w:val="0"/>
          <w:numId w:val="20"/>
        </w:numPr>
        <w:overflowPunct/>
        <w:autoSpaceDE/>
        <w:adjustRightInd/>
        <w:spacing w:after="120"/>
        <w:ind w:left="266" w:hanging="266"/>
        <w:jc w:val="lowKashida"/>
        <w:textAlignment w:val="auto"/>
        <w:rPr>
          <w:noProof/>
        </w:rPr>
      </w:pPr>
      <w:r w:rsidRPr="004601D7">
        <w:rPr>
          <w:noProof/>
        </w:rPr>
        <w:t>Average Room occupancy percentage was 44.5% in 2019.</w:t>
      </w:r>
    </w:p>
    <w:p w:rsidR="0026040C" w:rsidRPr="004601D7" w:rsidRDefault="0026040C" w:rsidP="00225FCE">
      <w:pPr>
        <w:numPr>
          <w:ilvl w:val="0"/>
          <w:numId w:val="20"/>
        </w:numPr>
        <w:overflowPunct/>
        <w:autoSpaceDE/>
        <w:adjustRightInd/>
        <w:spacing w:after="120"/>
        <w:ind w:left="266" w:hanging="266"/>
        <w:jc w:val="lowKashida"/>
        <w:textAlignment w:val="auto"/>
        <w:rPr>
          <w:noProof/>
        </w:rPr>
      </w:pPr>
      <w:r w:rsidRPr="004601D7">
        <w:rPr>
          <w:noProof/>
        </w:rPr>
        <w:t>Average Bed occupancy percentage was 34.9% in 2019.</w:t>
      </w:r>
    </w:p>
    <w:p w:rsidR="002C4BB1" w:rsidRPr="004601D7" w:rsidRDefault="00A77E3C" w:rsidP="00915488">
      <w:pPr>
        <w:jc w:val="lowKashida"/>
        <w:rPr>
          <w:b/>
          <w:bCs/>
          <w:i/>
          <w:iCs/>
          <w:sz w:val="18"/>
          <w:szCs w:val="18"/>
          <w:u w:val="single"/>
        </w:rPr>
      </w:pPr>
      <w:r w:rsidRPr="004601D7">
        <w:rPr>
          <w:b/>
          <w:bCs/>
          <w:i/>
          <w:iCs/>
          <w:sz w:val="18"/>
          <w:szCs w:val="18"/>
          <w:u w:val="single"/>
        </w:rPr>
        <w:t>For more details on tourism, see the tables in chapter 1.</w:t>
      </w:r>
      <w:r w:rsidR="00EE63BF" w:rsidRPr="004601D7">
        <w:rPr>
          <w:b/>
          <w:bCs/>
          <w:i/>
          <w:iCs/>
          <w:sz w:val="18"/>
          <w:szCs w:val="18"/>
          <w:u w:val="single"/>
        </w:rPr>
        <w:t>20</w:t>
      </w:r>
      <w:r w:rsidRPr="004601D7">
        <w:rPr>
          <w:b/>
          <w:bCs/>
          <w:i/>
          <w:iCs/>
          <w:sz w:val="18"/>
          <w:szCs w:val="18"/>
          <w:u w:val="single"/>
        </w:rPr>
        <w:t xml:space="preserve"> of the Arabic section, pages </w:t>
      </w:r>
      <w:r w:rsidR="001A0F85" w:rsidRPr="004601D7">
        <w:rPr>
          <w:b/>
          <w:bCs/>
          <w:i/>
          <w:iCs/>
          <w:sz w:val="18"/>
          <w:szCs w:val="18"/>
          <w:u w:val="single"/>
        </w:rPr>
        <w:t>19</w:t>
      </w:r>
      <w:r w:rsidR="00915488">
        <w:rPr>
          <w:b/>
          <w:bCs/>
          <w:i/>
          <w:iCs/>
          <w:sz w:val="18"/>
          <w:szCs w:val="18"/>
          <w:u w:val="single"/>
        </w:rPr>
        <w:t>1</w:t>
      </w:r>
      <w:r w:rsidRPr="004601D7">
        <w:rPr>
          <w:b/>
          <w:bCs/>
          <w:i/>
          <w:iCs/>
          <w:sz w:val="18"/>
          <w:szCs w:val="18"/>
          <w:u w:val="single"/>
        </w:rPr>
        <w:t>-</w:t>
      </w:r>
      <w:r w:rsidR="00915488">
        <w:rPr>
          <w:b/>
          <w:bCs/>
          <w:i/>
          <w:iCs/>
          <w:sz w:val="18"/>
          <w:szCs w:val="18"/>
          <w:u w:val="single"/>
        </w:rPr>
        <w:t>198</w:t>
      </w:r>
      <w:r w:rsidR="002C4BB1" w:rsidRPr="004601D7">
        <w:rPr>
          <w:b/>
          <w:bCs/>
          <w:i/>
          <w:iCs/>
          <w:sz w:val="18"/>
          <w:szCs w:val="18"/>
          <w:u w:val="single"/>
        </w:rPr>
        <w:t>.</w:t>
      </w:r>
    </w:p>
    <w:p w:rsidR="001378A2" w:rsidRPr="004601D7" w:rsidRDefault="001378A2" w:rsidP="001378A2">
      <w:pPr>
        <w:pStyle w:val="ListParagraph"/>
        <w:bidi w:val="0"/>
        <w:ind w:left="0"/>
        <w:jc w:val="lowKashida"/>
        <w:rPr>
          <w:rFonts w:cs="Times New Roman"/>
          <w:i/>
          <w:iCs/>
          <w:sz w:val="4"/>
          <w:szCs w:val="4"/>
          <w:u w:val="single"/>
        </w:rPr>
      </w:pPr>
    </w:p>
    <w:p w:rsidR="00A822B8" w:rsidRPr="004601D7" w:rsidRDefault="00A822B8" w:rsidP="00A822B8">
      <w:pPr>
        <w:pStyle w:val="ListParagraph"/>
        <w:bidi w:val="0"/>
        <w:ind w:left="0"/>
        <w:jc w:val="lowKashida"/>
        <w:rPr>
          <w:rFonts w:cs="Times New Roman"/>
          <w:i/>
          <w:iCs/>
          <w:sz w:val="10"/>
          <w:szCs w:val="10"/>
          <w:u w:val="single"/>
        </w:rPr>
      </w:pPr>
    </w:p>
    <w:p w:rsidR="009A21AB" w:rsidRPr="004601D7" w:rsidRDefault="009A21AB" w:rsidP="009A21AB">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Services</w:t>
      </w:r>
    </w:p>
    <w:p w:rsidR="00874FE8" w:rsidRPr="004601D7" w:rsidRDefault="00874FE8" w:rsidP="00874FE8">
      <w:pPr>
        <w:pStyle w:val="BodyText2"/>
        <w:numPr>
          <w:ilvl w:val="0"/>
          <w:numId w:val="2"/>
        </w:numPr>
        <w:overflowPunct/>
        <w:autoSpaceDE/>
        <w:autoSpaceDN/>
        <w:adjustRightInd/>
        <w:spacing w:after="120"/>
        <w:ind w:left="266" w:hanging="266"/>
        <w:textAlignment w:val="auto"/>
        <w:rPr>
          <w:noProof/>
        </w:rPr>
      </w:pPr>
      <w:r w:rsidRPr="004601D7">
        <w:rPr>
          <w:noProof/>
        </w:rPr>
        <w:t>There were 41</w:t>
      </w:r>
      <w:r w:rsidR="00902E44" w:rsidRPr="004601D7">
        <w:rPr>
          <w:noProof/>
        </w:rPr>
        <w:t>,</w:t>
      </w:r>
      <w:r w:rsidRPr="004601D7">
        <w:rPr>
          <w:noProof/>
        </w:rPr>
        <w:t>567</w:t>
      </w:r>
      <w:r w:rsidR="00902E44" w:rsidRPr="004601D7">
        <w:rPr>
          <w:noProof/>
        </w:rPr>
        <w:t xml:space="preserve"> </w:t>
      </w:r>
      <w:r w:rsidRPr="004601D7">
        <w:rPr>
          <w:noProof/>
        </w:rPr>
        <w:t>enterprises engaged in the services activities in Palestine in 201</w:t>
      </w:r>
      <w:r w:rsidRPr="004601D7">
        <w:rPr>
          <w:rFonts w:hint="cs"/>
          <w:noProof/>
          <w:rtl/>
        </w:rPr>
        <w:t>9</w:t>
      </w:r>
      <w:r w:rsidRPr="004601D7">
        <w:rPr>
          <w:noProof/>
        </w:rPr>
        <w:t>.</w:t>
      </w:r>
    </w:p>
    <w:p w:rsidR="00874FE8" w:rsidRPr="004601D7" w:rsidRDefault="00874FE8" w:rsidP="00874FE8">
      <w:pPr>
        <w:pStyle w:val="BodyText2"/>
        <w:numPr>
          <w:ilvl w:val="0"/>
          <w:numId w:val="2"/>
        </w:numPr>
        <w:spacing w:after="120"/>
        <w:ind w:left="266" w:hanging="266"/>
        <w:rPr>
          <w:noProof/>
        </w:rPr>
      </w:pPr>
      <w:r w:rsidRPr="004601D7">
        <w:rPr>
          <w:noProof/>
        </w:rPr>
        <w:t>There were 166,834 employed persons in services activities.</w:t>
      </w:r>
    </w:p>
    <w:p w:rsidR="00874FE8" w:rsidRPr="004601D7" w:rsidRDefault="00874FE8" w:rsidP="00BA27DA">
      <w:pPr>
        <w:pStyle w:val="BodyText2"/>
        <w:numPr>
          <w:ilvl w:val="0"/>
          <w:numId w:val="2"/>
        </w:numPr>
        <w:overflowPunct/>
        <w:autoSpaceDE/>
        <w:autoSpaceDN/>
        <w:adjustRightInd/>
        <w:spacing w:after="120"/>
        <w:ind w:left="266" w:hanging="266"/>
        <w:textAlignment w:val="auto"/>
        <w:rPr>
          <w:noProof/>
        </w:rPr>
      </w:pPr>
      <w:r w:rsidRPr="004601D7">
        <w:rPr>
          <w:noProof/>
        </w:rPr>
        <w:t>The value of the enterprises output in the services activities was USD 2</w:t>
      </w:r>
      <w:r w:rsidR="00902E44" w:rsidRPr="004601D7">
        <w:rPr>
          <w:noProof/>
        </w:rPr>
        <w:t>,</w:t>
      </w:r>
      <w:r w:rsidRPr="004601D7">
        <w:rPr>
          <w:noProof/>
        </w:rPr>
        <w:t>84</w:t>
      </w:r>
      <w:r w:rsidR="00902E44" w:rsidRPr="004601D7">
        <w:rPr>
          <w:noProof/>
        </w:rPr>
        <w:t>7</w:t>
      </w:r>
      <w:r w:rsidRPr="004601D7">
        <w:rPr>
          <w:noProof/>
        </w:rPr>
        <w:t>.</w:t>
      </w:r>
      <w:r w:rsidR="00902E44" w:rsidRPr="004601D7">
        <w:rPr>
          <w:noProof/>
        </w:rPr>
        <w:t>0</w:t>
      </w:r>
      <w:r w:rsidRPr="004601D7">
        <w:rPr>
          <w:noProof/>
        </w:rPr>
        <w:t xml:space="preserve"> million; intermediate consumption totaled USD 732.</w:t>
      </w:r>
      <w:r w:rsidR="00902E44" w:rsidRPr="004601D7">
        <w:rPr>
          <w:noProof/>
        </w:rPr>
        <w:t>9</w:t>
      </w:r>
      <w:r w:rsidRPr="004601D7">
        <w:rPr>
          <w:noProof/>
        </w:rPr>
        <w:t xml:space="preserve"> million; and the value added was USD 2</w:t>
      </w:r>
      <w:r w:rsidR="00902E44" w:rsidRPr="004601D7">
        <w:rPr>
          <w:noProof/>
        </w:rPr>
        <w:t>,</w:t>
      </w:r>
      <w:r w:rsidRPr="004601D7">
        <w:rPr>
          <w:noProof/>
        </w:rPr>
        <w:t>114.1 million.</w:t>
      </w:r>
    </w:p>
    <w:p w:rsidR="00874FE8" w:rsidRPr="004601D7" w:rsidRDefault="00874FE8" w:rsidP="00915488">
      <w:pPr>
        <w:pStyle w:val="BodyText2"/>
        <w:numPr>
          <w:ilvl w:val="0"/>
          <w:numId w:val="2"/>
        </w:numPr>
        <w:overflowPunct/>
        <w:autoSpaceDE/>
        <w:autoSpaceDN/>
        <w:adjustRightInd/>
        <w:spacing w:after="120"/>
        <w:ind w:left="0" w:hanging="266"/>
        <w:textAlignment w:val="auto"/>
        <w:rPr>
          <w:b/>
          <w:bCs/>
          <w:i/>
          <w:iCs/>
          <w:sz w:val="18"/>
          <w:szCs w:val="18"/>
          <w:u w:val="single"/>
        </w:rPr>
      </w:pPr>
      <w:r w:rsidRPr="004601D7">
        <w:rPr>
          <w:b/>
          <w:bCs/>
          <w:i/>
          <w:iCs/>
          <w:sz w:val="18"/>
          <w:szCs w:val="18"/>
          <w:u w:val="single"/>
        </w:rPr>
        <w:t xml:space="preserve">For more details on the services sector, see the tables in chapter 1.21 of the Arabic section, pages </w:t>
      </w:r>
      <w:r w:rsidR="00915488">
        <w:rPr>
          <w:b/>
          <w:bCs/>
          <w:i/>
          <w:iCs/>
          <w:sz w:val="18"/>
          <w:szCs w:val="18"/>
          <w:u w:val="single"/>
        </w:rPr>
        <w:t>199</w:t>
      </w:r>
      <w:r w:rsidRPr="004601D7">
        <w:rPr>
          <w:b/>
          <w:bCs/>
          <w:i/>
          <w:iCs/>
          <w:sz w:val="18"/>
          <w:szCs w:val="18"/>
          <w:u w:val="single"/>
        </w:rPr>
        <w:t>-2</w:t>
      </w:r>
      <w:r w:rsidR="001A0F85" w:rsidRPr="004601D7">
        <w:rPr>
          <w:b/>
          <w:bCs/>
          <w:i/>
          <w:iCs/>
          <w:sz w:val="18"/>
          <w:szCs w:val="18"/>
          <w:u w:val="single"/>
        </w:rPr>
        <w:t>0</w:t>
      </w:r>
      <w:r w:rsidR="00915488">
        <w:rPr>
          <w:b/>
          <w:bCs/>
          <w:i/>
          <w:iCs/>
          <w:sz w:val="18"/>
          <w:szCs w:val="18"/>
          <w:u w:val="single"/>
        </w:rPr>
        <w:t>0</w:t>
      </w:r>
      <w:r w:rsidRPr="004601D7">
        <w:rPr>
          <w:b/>
          <w:bCs/>
          <w:i/>
          <w:iCs/>
          <w:sz w:val="18"/>
          <w:szCs w:val="18"/>
          <w:u w:val="single"/>
        </w:rPr>
        <w:t>.</w:t>
      </w:r>
    </w:p>
    <w:p w:rsidR="00874FE8" w:rsidRPr="004601D7" w:rsidRDefault="00874FE8" w:rsidP="00874FE8">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Internal  Trade</w:t>
      </w:r>
    </w:p>
    <w:p w:rsidR="00874FE8" w:rsidRPr="004601D7" w:rsidRDefault="00874FE8" w:rsidP="00874FE8">
      <w:pPr>
        <w:pStyle w:val="BodyText2"/>
        <w:numPr>
          <w:ilvl w:val="0"/>
          <w:numId w:val="2"/>
        </w:numPr>
        <w:overflowPunct/>
        <w:autoSpaceDE/>
        <w:autoSpaceDN/>
        <w:adjustRightInd/>
        <w:spacing w:after="120"/>
        <w:ind w:left="266" w:hanging="266"/>
        <w:textAlignment w:val="auto"/>
        <w:rPr>
          <w:noProof/>
        </w:rPr>
      </w:pPr>
      <w:r w:rsidRPr="004601D7">
        <w:rPr>
          <w:noProof/>
        </w:rPr>
        <w:t>In 2019, there were 80,407 enterprises engaged in this activity in Palestine.</w:t>
      </w:r>
    </w:p>
    <w:p w:rsidR="00874FE8" w:rsidRPr="004601D7" w:rsidRDefault="00874FE8" w:rsidP="00874FE8">
      <w:pPr>
        <w:pStyle w:val="BodyText2"/>
        <w:numPr>
          <w:ilvl w:val="0"/>
          <w:numId w:val="2"/>
        </w:numPr>
        <w:overflowPunct/>
        <w:autoSpaceDE/>
        <w:autoSpaceDN/>
        <w:adjustRightInd/>
        <w:spacing w:after="120"/>
        <w:ind w:left="266" w:hanging="266"/>
        <w:textAlignment w:val="auto"/>
        <w:rPr>
          <w:noProof/>
        </w:rPr>
      </w:pPr>
      <w:r w:rsidRPr="004601D7">
        <w:rPr>
          <w:noProof/>
        </w:rPr>
        <w:t>In 2019, there were 219,053 employed persons in this activity.</w:t>
      </w:r>
    </w:p>
    <w:p w:rsidR="00874FE8" w:rsidRPr="004601D7" w:rsidRDefault="00874FE8" w:rsidP="00874FE8">
      <w:pPr>
        <w:pStyle w:val="BodyText2"/>
        <w:numPr>
          <w:ilvl w:val="0"/>
          <w:numId w:val="2"/>
        </w:numPr>
        <w:overflowPunct/>
        <w:autoSpaceDE/>
        <w:autoSpaceDN/>
        <w:adjustRightInd/>
        <w:spacing w:after="120"/>
        <w:ind w:left="266" w:hanging="266"/>
        <w:textAlignment w:val="auto"/>
        <w:rPr>
          <w:noProof/>
        </w:rPr>
      </w:pPr>
      <w:r w:rsidRPr="004601D7">
        <w:rPr>
          <w:noProof/>
        </w:rPr>
        <w:t>The value of the enterprises output in internal trade activities was USD 5,224.8</w:t>
      </w:r>
      <w:r w:rsidRPr="004601D7">
        <w:rPr>
          <w:noProof/>
          <w:rtl/>
        </w:rPr>
        <w:t xml:space="preserve"> </w:t>
      </w:r>
      <w:r w:rsidRPr="004601D7">
        <w:rPr>
          <w:noProof/>
        </w:rPr>
        <w:t xml:space="preserve"> million; intermediate consumption totaled USD 920.7 million; and the value added was USD 4,304.0 million.</w:t>
      </w:r>
    </w:p>
    <w:p w:rsidR="00874FE8" w:rsidRPr="004601D7" w:rsidRDefault="00874FE8" w:rsidP="00874FE8">
      <w:pPr>
        <w:pStyle w:val="ListParagraph"/>
        <w:bidi w:val="0"/>
        <w:ind w:left="0"/>
        <w:jc w:val="lowKashida"/>
        <w:rPr>
          <w:rFonts w:cs="Times New Roman"/>
          <w:i/>
          <w:iCs/>
          <w:sz w:val="20"/>
          <w:u w:val="single"/>
        </w:rPr>
      </w:pPr>
    </w:p>
    <w:p w:rsidR="00874FE8" w:rsidRPr="004601D7" w:rsidRDefault="00874FE8" w:rsidP="00915488">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Internal  trade, see the tables in chapter 1.22 of the Arabic section, pages     2</w:t>
      </w:r>
      <w:r w:rsidR="001A0F85" w:rsidRPr="004601D7">
        <w:rPr>
          <w:rFonts w:cs="Times New Roman"/>
          <w:b/>
          <w:bCs/>
          <w:i/>
          <w:iCs/>
          <w:sz w:val="18"/>
          <w:szCs w:val="18"/>
          <w:u w:val="single"/>
        </w:rPr>
        <w:t>0</w:t>
      </w:r>
      <w:r w:rsidR="00915488">
        <w:rPr>
          <w:rFonts w:cs="Times New Roman"/>
          <w:b/>
          <w:bCs/>
          <w:i/>
          <w:iCs/>
          <w:sz w:val="18"/>
          <w:szCs w:val="18"/>
          <w:u w:val="single"/>
        </w:rPr>
        <w:t>1</w:t>
      </w:r>
      <w:r w:rsidRPr="004601D7">
        <w:rPr>
          <w:rFonts w:cs="Times New Roman"/>
          <w:b/>
          <w:bCs/>
          <w:i/>
          <w:iCs/>
          <w:sz w:val="18"/>
          <w:szCs w:val="18"/>
          <w:u w:val="single"/>
        </w:rPr>
        <w:t>-2</w:t>
      </w:r>
      <w:r w:rsidR="001A0F85" w:rsidRPr="004601D7">
        <w:rPr>
          <w:rFonts w:cs="Times New Roman"/>
          <w:b/>
          <w:bCs/>
          <w:i/>
          <w:iCs/>
          <w:sz w:val="18"/>
          <w:szCs w:val="18"/>
          <w:u w:val="single"/>
        </w:rPr>
        <w:t>0</w:t>
      </w:r>
      <w:r w:rsidR="00915488">
        <w:rPr>
          <w:rFonts w:cs="Times New Roman"/>
          <w:b/>
          <w:bCs/>
          <w:i/>
          <w:iCs/>
          <w:sz w:val="18"/>
          <w:szCs w:val="18"/>
          <w:u w:val="single"/>
        </w:rPr>
        <w:t>2</w:t>
      </w:r>
      <w:r w:rsidRPr="004601D7">
        <w:rPr>
          <w:rFonts w:cs="Times New Roman"/>
          <w:b/>
          <w:bCs/>
          <w:i/>
          <w:iCs/>
          <w:sz w:val="18"/>
          <w:szCs w:val="18"/>
          <w:u w:val="single"/>
        </w:rPr>
        <w:t>.</w:t>
      </w:r>
    </w:p>
    <w:p w:rsidR="005F6984" w:rsidRPr="004601D7" w:rsidRDefault="005F6984" w:rsidP="005F6984">
      <w:pPr>
        <w:pStyle w:val="ListParagraph"/>
        <w:bidi w:val="0"/>
        <w:ind w:left="0"/>
        <w:jc w:val="lowKashida"/>
        <w:rPr>
          <w:rFonts w:cs="Times New Roman"/>
          <w:b/>
          <w:bCs/>
          <w:i/>
          <w:iCs/>
          <w:sz w:val="18"/>
          <w:szCs w:val="18"/>
          <w:u w:val="single"/>
        </w:rPr>
      </w:pPr>
    </w:p>
    <w:p w:rsidR="00F11EE2" w:rsidRPr="004601D7" w:rsidRDefault="00F11EE2" w:rsidP="00332048">
      <w:pPr>
        <w:pStyle w:val="Title"/>
        <w:numPr>
          <w:ilvl w:val="0"/>
          <w:numId w:val="19"/>
        </w:numPr>
        <w:tabs>
          <w:tab w:val="right" w:pos="308"/>
        </w:tabs>
        <w:bidi w:val="0"/>
        <w:ind w:left="252" w:hanging="252"/>
        <w:jc w:val="left"/>
        <w:rPr>
          <w:rFonts w:cs="Traditional Arabic"/>
          <w:sz w:val="20"/>
          <w:szCs w:val="20"/>
        </w:rPr>
      </w:pPr>
      <w:r w:rsidRPr="004601D7">
        <w:rPr>
          <w:rFonts w:cs="Traditional Arabic"/>
          <w:sz w:val="20"/>
          <w:szCs w:val="20"/>
        </w:rPr>
        <w:t>Registered Foreign Trade</w:t>
      </w:r>
    </w:p>
    <w:p w:rsidR="00925B58" w:rsidRPr="004601D7" w:rsidRDefault="00925B58" w:rsidP="005A5BFA">
      <w:pPr>
        <w:pStyle w:val="BodyText2"/>
        <w:numPr>
          <w:ilvl w:val="0"/>
          <w:numId w:val="2"/>
        </w:numPr>
        <w:overflowPunct/>
        <w:autoSpaceDE/>
        <w:autoSpaceDN/>
        <w:adjustRightInd/>
        <w:spacing w:after="120"/>
        <w:ind w:left="266" w:hanging="266"/>
        <w:textAlignment w:val="auto"/>
        <w:rPr>
          <w:noProof/>
        </w:rPr>
      </w:pPr>
      <w:r w:rsidRPr="004601D7">
        <w:rPr>
          <w:noProof/>
        </w:rPr>
        <w:t>The total value of registered imported goods in 2019 was USD 6,613.5 million, which marks an increase of 1.1% compared to 2018.</w:t>
      </w:r>
    </w:p>
    <w:p w:rsidR="00925B58" w:rsidRPr="004601D7" w:rsidRDefault="00925B58" w:rsidP="005A5BFA">
      <w:pPr>
        <w:pStyle w:val="BodyText2"/>
        <w:numPr>
          <w:ilvl w:val="0"/>
          <w:numId w:val="2"/>
        </w:numPr>
        <w:overflowPunct/>
        <w:autoSpaceDE/>
        <w:autoSpaceDN/>
        <w:adjustRightInd/>
        <w:spacing w:after="120"/>
        <w:ind w:left="266" w:hanging="266"/>
        <w:textAlignment w:val="auto"/>
        <w:rPr>
          <w:noProof/>
        </w:rPr>
      </w:pPr>
      <w:r w:rsidRPr="004601D7">
        <w:rPr>
          <w:noProof/>
        </w:rPr>
        <w:t xml:space="preserve">The registered exported goods totaled USD 1,103.8 million </w:t>
      </w:r>
      <w:r w:rsidR="0017458F" w:rsidRPr="004601D7">
        <w:rPr>
          <w:noProof/>
        </w:rPr>
        <w:t xml:space="preserve">in 2019 </w:t>
      </w:r>
      <w:r w:rsidRPr="004601D7">
        <w:rPr>
          <w:noProof/>
        </w:rPr>
        <w:t xml:space="preserve">marking a decrease of 4.5% compared to 2018. </w:t>
      </w:r>
    </w:p>
    <w:p w:rsidR="00925B58" w:rsidRPr="004601D7" w:rsidRDefault="00925B58" w:rsidP="005A5BFA">
      <w:pPr>
        <w:pStyle w:val="BodyText2"/>
        <w:numPr>
          <w:ilvl w:val="0"/>
          <w:numId w:val="2"/>
        </w:numPr>
        <w:overflowPunct/>
        <w:autoSpaceDE/>
        <w:autoSpaceDN/>
        <w:adjustRightInd/>
        <w:spacing w:after="120"/>
        <w:ind w:left="266" w:hanging="266"/>
        <w:textAlignment w:val="auto"/>
        <w:rPr>
          <w:noProof/>
        </w:rPr>
      </w:pPr>
      <w:r w:rsidRPr="004601D7">
        <w:rPr>
          <w:noProof/>
        </w:rPr>
        <w:lastRenderedPageBreak/>
        <w:t>the deficit in the trade balance in goods (the difference between exports and imports) totaled USD 5,509.6 million in 2019, showing an increase of 2.3% compared to 2018.</w:t>
      </w:r>
    </w:p>
    <w:p w:rsidR="005A5BFA" w:rsidRPr="004601D7" w:rsidRDefault="005A5BFA" w:rsidP="005A5BFA">
      <w:pPr>
        <w:pStyle w:val="BodyText2"/>
        <w:overflowPunct/>
        <w:autoSpaceDE/>
        <w:autoSpaceDN/>
        <w:adjustRightInd/>
        <w:spacing w:after="120"/>
        <w:textAlignment w:val="auto"/>
        <w:rPr>
          <w:noProof/>
        </w:rPr>
      </w:pPr>
    </w:p>
    <w:p w:rsidR="00925B58" w:rsidRPr="004601D7" w:rsidRDefault="00925B58" w:rsidP="00925B58">
      <w:pPr>
        <w:pStyle w:val="Header"/>
        <w:tabs>
          <w:tab w:val="clear" w:pos="4153"/>
          <w:tab w:val="clear" w:pos="8306"/>
        </w:tabs>
        <w:jc w:val="center"/>
        <w:rPr>
          <w:b/>
          <w:bCs/>
          <w:sz w:val="10"/>
          <w:szCs w:val="10"/>
        </w:rPr>
      </w:pPr>
      <w:r w:rsidRPr="004601D7">
        <w:rPr>
          <w:rFonts w:ascii="Arial" w:hAnsi="Arial"/>
          <w:b/>
          <w:bCs/>
          <w:sz w:val="18"/>
          <w:szCs w:val="18"/>
        </w:rPr>
        <w:t>Value of Registered Imports, Exports in Goods and Net Trade Balance in Palestine, 2000-2019</w:t>
      </w:r>
      <w:r w:rsidRPr="004601D7">
        <w:rPr>
          <w:rFonts w:ascii="Arial" w:hAnsi="Arial"/>
          <w:b/>
          <w:bCs/>
          <w:sz w:val="18"/>
          <w:szCs w:val="18"/>
        </w:rPr>
        <w:br/>
      </w:r>
    </w:p>
    <w:p w:rsidR="00925B58" w:rsidRPr="004601D7" w:rsidRDefault="00925B58" w:rsidP="00925B58">
      <w:pPr>
        <w:pStyle w:val="Header"/>
        <w:tabs>
          <w:tab w:val="clear" w:pos="4153"/>
          <w:tab w:val="clear" w:pos="8306"/>
        </w:tabs>
        <w:jc w:val="center"/>
        <w:rPr>
          <w:b/>
          <w:bCs/>
          <w:sz w:val="10"/>
          <w:szCs w:val="10"/>
        </w:rPr>
      </w:pPr>
      <w:r w:rsidRPr="004601D7">
        <w:rPr>
          <w:rFonts w:hint="cs"/>
          <w:b/>
          <w:bCs/>
          <w:noProof/>
          <w:sz w:val="2"/>
          <w:szCs w:val="2"/>
          <w:rtl/>
        </w:rPr>
        <w:drawing>
          <wp:anchor distT="0" distB="0" distL="114300" distR="114300" simplePos="0" relativeHeight="251660288" behindDoc="0" locked="0" layoutInCell="1" allowOverlap="1" wp14:anchorId="060F235C" wp14:editId="0DCC3699">
            <wp:simplePos x="0" y="0"/>
            <wp:positionH relativeFrom="column">
              <wp:posOffset>0</wp:posOffset>
            </wp:positionH>
            <wp:positionV relativeFrom="paragraph">
              <wp:posOffset>66040</wp:posOffset>
            </wp:positionV>
            <wp:extent cx="4837430" cy="2811780"/>
            <wp:effectExtent l="0" t="0" r="0" b="0"/>
            <wp:wrapSquare wrapText="bothSides"/>
            <wp:docPr id="1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margin">
              <wp14:pctWidth>0</wp14:pctWidth>
            </wp14:sizeRelH>
            <wp14:sizeRelV relativeFrom="margin">
              <wp14:pctHeight>0</wp14:pctHeight>
            </wp14:sizeRelV>
          </wp:anchor>
        </w:drawing>
      </w:r>
    </w:p>
    <w:p w:rsidR="00925B58" w:rsidRPr="004601D7" w:rsidRDefault="00925B58" w:rsidP="00925B58">
      <w:pPr>
        <w:jc w:val="lowKashida"/>
        <w:rPr>
          <w:sz w:val="14"/>
          <w:szCs w:val="14"/>
        </w:rPr>
      </w:pPr>
      <w:r w:rsidRPr="004601D7">
        <w:rPr>
          <w:rFonts w:ascii="Arial" w:hAnsi="Arial"/>
          <w:sz w:val="14"/>
          <w:szCs w:val="14"/>
        </w:rPr>
        <w:t>*:</w:t>
      </w:r>
      <w:r w:rsidRPr="004601D7">
        <w:rPr>
          <w:rFonts w:ascii="Arial" w:hAnsi="Arial" w:cs="Arial"/>
          <w:sz w:val="14"/>
          <w:szCs w:val="14"/>
        </w:rPr>
        <w:t xml:space="preserve"> Data excluded those parts of Jerusalem which were annexed by Israel Occupation in 1967</w:t>
      </w:r>
      <w:r w:rsidRPr="004601D7">
        <w:rPr>
          <w:sz w:val="14"/>
          <w:szCs w:val="14"/>
        </w:rPr>
        <w:t>.</w:t>
      </w:r>
    </w:p>
    <w:p w:rsidR="00121893" w:rsidRPr="004601D7" w:rsidRDefault="00121893" w:rsidP="00121893">
      <w:pPr>
        <w:jc w:val="lowKashida"/>
        <w:rPr>
          <w:sz w:val="10"/>
          <w:szCs w:val="10"/>
        </w:rPr>
      </w:pPr>
    </w:p>
    <w:p w:rsidR="00121893" w:rsidRPr="004601D7" w:rsidRDefault="00121893" w:rsidP="00915488">
      <w:pPr>
        <w:pStyle w:val="Title"/>
        <w:tabs>
          <w:tab w:val="right" w:pos="308"/>
        </w:tabs>
        <w:bidi w:val="0"/>
        <w:jc w:val="left"/>
        <w:rPr>
          <w:rFonts w:cs="Times New Roman"/>
          <w:i/>
          <w:iCs/>
          <w:sz w:val="18"/>
          <w:szCs w:val="18"/>
          <w:u w:val="single"/>
        </w:rPr>
      </w:pPr>
      <w:r w:rsidRPr="004601D7">
        <w:rPr>
          <w:rFonts w:cs="Times New Roman"/>
          <w:i/>
          <w:iCs/>
          <w:sz w:val="18"/>
          <w:szCs w:val="18"/>
          <w:u w:val="single"/>
        </w:rPr>
        <w:t xml:space="preserve">For more details on </w:t>
      </w:r>
      <w:r w:rsidR="008F6290" w:rsidRPr="004601D7">
        <w:rPr>
          <w:rFonts w:cs="Times New Roman"/>
          <w:i/>
          <w:iCs/>
          <w:sz w:val="18"/>
          <w:szCs w:val="18"/>
          <w:u w:val="single"/>
        </w:rPr>
        <w:t xml:space="preserve">Registered Foreign Trade </w:t>
      </w:r>
      <w:r w:rsidRPr="004601D7">
        <w:rPr>
          <w:rFonts w:cs="Times New Roman"/>
          <w:i/>
          <w:iCs/>
          <w:sz w:val="18"/>
          <w:szCs w:val="18"/>
          <w:u w:val="single"/>
        </w:rPr>
        <w:t>, see the tables in chapter 1.2</w:t>
      </w:r>
      <w:r w:rsidR="00EE63BF" w:rsidRPr="004601D7">
        <w:rPr>
          <w:rFonts w:cs="Times New Roman"/>
          <w:i/>
          <w:iCs/>
          <w:sz w:val="18"/>
          <w:szCs w:val="18"/>
          <w:u w:val="single"/>
        </w:rPr>
        <w:t>3</w:t>
      </w:r>
      <w:r w:rsidRPr="004601D7">
        <w:rPr>
          <w:rFonts w:cs="Times New Roman"/>
          <w:i/>
          <w:iCs/>
          <w:sz w:val="18"/>
          <w:szCs w:val="18"/>
          <w:u w:val="single"/>
        </w:rPr>
        <w:t xml:space="preserve"> of the Arabic section, pages </w:t>
      </w:r>
      <w:r w:rsidR="00C45804" w:rsidRPr="004601D7">
        <w:rPr>
          <w:rFonts w:cs="Times New Roman"/>
          <w:i/>
          <w:iCs/>
          <w:sz w:val="18"/>
          <w:szCs w:val="18"/>
          <w:u w:val="single"/>
        </w:rPr>
        <w:t xml:space="preserve">  </w:t>
      </w:r>
      <w:r w:rsidR="00426EE0" w:rsidRPr="004601D7">
        <w:rPr>
          <w:rFonts w:cs="Times New Roman"/>
          <w:i/>
          <w:iCs/>
          <w:sz w:val="18"/>
          <w:szCs w:val="18"/>
          <w:u w:val="single"/>
        </w:rPr>
        <w:t>2</w:t>
      </w:r>
      <w:r w:rsidR="001A0F85" w:rsidRPr="004601D7">
        <w:rPr>
          <w:rFonts w:cs="Times New Roman"/>
          <w:i/>
          <w:iCs/>
          <w:sz w:val="18"/>
          <w:szCs w:val="18"/>
          <w:u w:val="single"/>
        </w:rPr>
        <w:t>0</w:t>
      </w:r>
      <w:r w:rsidR="00915488">
        <w:rPr>
          <w:rFonts w:cs="Times New Roman"/>
          <w:i/>
          <w:iCs/>
          <w:sz w:val="18"/>
          <w:szCs w:val="18"/>
          <w:u w:val="single"/>
        </w:rPr>
        <w:t>3</w:t>
      </w:r>
      <w:r w:rsidRPr="004601D7">
        <w:rPr>
          <w:rFonts w:cs="Times New Roman"/>
          <w:i/>
          <w:iCs/>
          <w:sz w:val="18"/>
          <w:szCs w:val="18"/>
          <w:u w:val="single"/>
        </w:rPr>
        <w:t>-</w:t>
      </w:r>
      <w:r w:rsidR="00426EE0" w:rsidRPr="004601D7">
        <w:rPr>
          <w:rFonts w:cs="Times New Roman"/>
          <w:i/>
          <w:iCs/>
          <w:sz w:val="18"/>
          <w:szCs w:val="18"/>
          <w:u w:val="single"/>
        </w:rPr>
        <w:t>2</w:t>
      </w:r>
      <w:r w:rsidR="001A0F85" w:rsidRPr="004601D7">
        <w:rPr>
          <w:rFonts w:cs="Times New Roman"/>
          <w:i/>
          <w:iCs/>
          <w:sz w:val="18"/>
          <w:szCs w:val="18"/>
          <w:u w:val="single"/>
        </w:rPr>
        <w:t>1</w:t>
      </w:r>
      <w:r w:rsidR="00915488">
        <w:rPr>
          <w:rFonts w:cs="Times New Roman"/>
          <w:i/>
          <w:iCs/>
          <w:sz w:val="18"/>
          <w:szCs w:val="18"/>
          <w:u w:val="single"/>
        </w:rPr>
        <w:t>0</w:t>
      </w:r>
      <w:r w:rsidRPr="004601D7">
        <w:rPr>
          <w:rFonts w:cs="Times New Roman"/>
          <w:i/>
          <w:iCs/>
          <w:sz w:val="18"/>
          <w:szCs w:val="18"/>
          <w:u w:val="single"/>
        </w:rPr>
        <w:t>.</w:t>
      </w:r>
    </w:p>
    <w:p w:rsidR="00DF5DC7" w:rsidRPr="004601D7" w:rsidRDefault="00DF5DC7" w:rsidP="00DF5DC7">
      <w:pPr>
        <w:overflowPunct/>
        <w:autoSpaceDE/>
        <w:autoSpaceDN/>
        <w:adjustRightInd/>
        <w:textAlignment w:val="auto"/>
        <w:rPr>
          <w:rFonts w:cs="Traditional Arabic"/>
          <w:b/>
          <w:bCs/>
          <w:noProof/>
        </w:rPr>
      </w:pPr>
    </w:p>
    <w:p w:rsidR="00DF5DC7" w:rsidRPr="004601D7" w:rsidRDefault="00DF5DC7" w:rsidP="00DF5DC7">
      <w:pPr>
        <w:pStyle w:val="Title"/>
        <w:tabs>
          <w:tab w:val="right" w:pos="308"/>
        </w:tabs>
        <w:bidi w:val="0"/>
        <w:jc w:val="left"/>
        <w:rPr>
          <w:rFonts w:cs="Traditional Arabic"/>
          <w:sz w:val="20"/>
          <w:szCs w:val="20"/>
          <w:rtl/>
        </w:rPr>
      </w:pPr>
      <w:r w:rsidRPr="004601D7">
        <w:rPr>
          <w:rFonts w:cs="Traditional Arabic" w:hint="cs"/>
          <w:sz w:val="20"/>
          <w:szCs w:val="20"/>
          <w:rtl/>
        </w:rPr>
        <w:t>24</w:t>
      </w:r>
      <w:r w:rsidRPr="004601D7">
        <w:rPr>
          <w:rFonts w:cs="Traditional Arabic"/>
          <w:sz w:val="20"/>
          <w:szCs w:val="20"/>
        </w:rPr>
        <w:t xml:space="preserve">. Balance of Payments </w:t>
      </w:r>
    </w:p>
    <w:p w:rsidR="00DF5DC7" w:rsidRPr="004601D7" w:rsidRDefault="00DF5DC7" w:rsidP="00DF5DC7">
      <w:pPr>
        <w:pStyle w:val="Title"/>
        <w:bidi w:val="0"/>
        <w:ind w:left="-210" w:firstLine="210"/>
        <w:jc w:val="left"/>
        <w:rPr>
          <w:rFonts w:cs="Traditional Arabic"/>
          <w:sz w:val="20"/>
          <w:szCs w:val="20"/>
        </w:rPr>
      </w:pPr>
      <w:r w:rsidRPr="004601D7">
        <w:rPr>
          <w:rFonts w:cs="Traditional Arabic"/>
          <w:sz w:val="20"/>
          <w:szCs w:val="20"/>
        </w:rPr>
        <w:t>24.1 Current Account</w:t>
      </w:r>
    </w:p>
    <w:p w:rsidR="00DF5DC7" w:rsidRPr="004601D7" w:rsidRDefault="00DF5DC7" w:rsidP="00DF5DC7">
      <w:pPr>
        <w:pStyle w:val="BodyText2"/>
        <w:numPr>
          <w:ilvl w:val="0"/>
          <w:numId w:val="2"/>
        </w:numPr>
        <w:overflowPunct/>
        <w:autoSpaceDE/>
        <w:autoSpaceDN/>
        <w:adjustRightInd/>
        <w:spacing w:after="120"/>
        <w:ind w:left="266" w:hanging="266"/>
        <w:textAlignment w:val="auto"/>
        <w:rPr>
          <w:noProof/>
        </w:rPr>
      </w:pPr>
      <w:r w:rsidRPr="004601D7">
        <w:rPr>
          <w:noProof/>
        </w:rPr>
        <w:t>The Palestinian balance of payments in 2019 recorded a deficit of USD 1,</w:t>
      </w:r>
      <w:r w:rsidRPr="004601D7">
        <w:rPr>
          <w:rFonts w:hint="cs"/>
          <w:noProof/>
          <w:rtl/>
        </w:rPr>
        <w:t>780</w:t>
      </w:r>
      <w:r w:rsidRPr="004601D7">
        <w:rPr>
          <w:noProof/>
        </w:rPr>
        <w:t xml:space="preserve"> million in the current account (goods, services, income, current transfers) </w:t>
      </w:r>
    </w:p>
    <w:p w:rsidR="00DF5DC7" w:rsidRPr="004601D7" w:rsidRDefault="00DF5DC7" w:rsidP="00DF5DC7">
      <w:pPr>
        <w:pStyle w:val="BodyText2"/>
        <w:numPr>
          <w:ilvl w:val="0"/>
          <w:numId w:val="2"/>
        </w:numPr>
        <w:overflowPunct/>
        <w:autoSpaceDE/>
        <w:autoSpaceDN/>
        <w:adjustRightInd/>
        <w:spacing w:after="120"/>
        <w:ind w:left="266" w:hanging="266"/>
        <w:textAlignment w:val="auto"/>
        <w:rPr>
          <w:noProof/>
        </w:rPr>
      </w:pPr>
      <w:r w:rsidRPr="004601D7">
        <w:rPr>
          <w:noProof/>
        </w:rPr>
        <w:t>The trade balance of goods recorded</w:t>
      </w:r>
      <w:r w:rsidRPr="004601D7">
        <w:rPr>
          <w:noProof/>
          <w:rtl/>
        </w:rPr>
        <w:t xml:space="preserve"> </w:t>
      </w:r>
      <w:r w:rsidRPr="004601D7">
        <w:rPr>
          <w:noProof/>
        </w:rPr>
        <w:t>a deficit of USD 5,</w:t>
      </w:r>
      <w:r w:rsidRPr="004601D7">
        <w:rPr>
          <w:rFonts w:hint="cs"/>
          <w:noProof/>
          <w:rtl/>
        </w:rPr>
        <w:t>510</w:t>
      </w:r>
      <w:r w:rsidRPr="004601D7">
        <w:rPr>
          <w:noProof/>
        </w:rPr>
        <w:t xml:space="preserve"> million.  This reflects an increase of </w:t>
      </w:r>
      <w:r w:rsidRPr="004601D7">
        <w:rPr>
          <w:rFonts w:hint="cs"/>
          <w:noProof/>
          <w:rtl/>
        </w:rPr>
        <w:t>2</w:t>
      </w:r>
      <w:r w:rsidRPr="004601D7">
        <w:rPr>
          <w:noProof/>
        </w:rPr>
        <w:t>% compared with the 2018 deficit.  The trade balance deficit with Israel was the main cause of the overall trade balance deficit.</w:t>
      </w:r>
    </w:p>
    <w:p w:rsidR="00DF5DC7" w:rsidRPr="004601D7" w:rsidRDefault="00DF5DC7" w:rsidP="00DF5DC7">
      <w:pPr>
        <w:pStyle w:val="BodyText2"/>
        <w:numPr>
          <w:ilvl w:val="0"/>
          <w:numId w:val="2"/>
        </w:numPr>
        <w:overflowPunct/>
        <w:autoSpaceDE/>
        <w:autoSpaceDN/>
        <w:adjustRightInd/>
        <w:spacing w:after="120"/>
        <w:ind w:left="266" w:hanging="266"/>
        <w:textAlignment w:val="auto"/>
        <w:rPr>
          <w:noProof/>
        </w:rPr>
      </w:pPr>
      <w:r w:rsidRPr="004601D7">
        <w:rPr>
          <w:noProof/>
        </w:rPr>
        <w:t xml:space="preserve">The services balance recorded a deficit of USD </w:t>
      </w:r>
      <w:r w:rsidRPr="004601D7">
        <w:rPr>
          <w:rFonts w:hint="cs"/>
          <w:noProof/>
          <w:rtl/>
        </w:rPr>
        <w:t>993</w:t>
      </w:r>
      <w:r w:rsidRPr="004601D7">
        <w:rPr>
          <w:noProof/>
        </w:rPr>
        <w:t xml:space="preserve"> million. compared with a deficit of USD 1,033 million in 2018. </w:t>
      </w:r>
    </w:p>
    <w:p w:rsidR="00DF5DC7" w:rsidRPr="004601D7" w:rsidRDefault="00DF5DC7" w:rsidP="00DF5DC7">
      <w:pPr>
        <w:pStyle w:val="Title"/>
        <w:bidi w:val="0"/>
        <w:ind w:left="-210" w:firstLine="210"/>
        <w:jc w:val="left"/>
        <w:rPr>
          <w:rFonts w:cs="Traditional Arabic"/>
          <w:sz w:val="20"/>
          <w:szCs w:val="20"/>
        </w:rPr>
      </w:pPr>
      <w:r w:rsidRPr="004601D7">
        <w:rPr>
          <w:rFonts w:cs="Traditional Arabic"/>
          <w:sz w:val="20"/>
          <w:szCs w:val="20"/>
        </w:rPr>
        <w:t>24.2 Income Balance</w:t>
      </w:r>
    </w:p>
    <w:p w:rsidR="00DF5DC7" w:rsidRPr="004601D7" w:rsidRDefault="00DF5DC7" w:rsidP="0017458F">
      <w:pPr>
        <w:pStyle w:val="BodyText2"/>
        <w:numPr>
          <w:ilvl w:val="0"/>
          <w:numId w:val="2"/>
        </w:numPr>
        <w:tabs>
          <w:tab w:val="num" w:pos="1211"/>
        </w:tabs>
        <w:overflowPunct/>
        <w:autoSpaceDE/>
        <w:autoSpaceDN/>
        <w:adjustRightInd/>
        <w:spacing w:after="120"/>
        <w:ind w:left="142" w:hanging="266"/>
        <w:textAlignment w:val="auto"/>
      </w:pPr>
      <w:r w:rsidRPr="004601D7">
        <w:rPr>
          <w:noProof/>
        </w:rPr>
        <w:t xml:space="preserve">A surplus of USD </w:t>
      </w:r>
      <w:r w:rsidRPr="004601D7">
        <w:rPr>
          <w:rFonts w:ascii="Simplified Arabic" w:hAnsi="Simplified Arabic" w:cs="Simplified Arabic"/>
          <w:lang w:val="en-GB"/>
        </w:rPr>
        <w:t>3,031</w:t>
      </w:r>
      <w:r w:rsidRPr="004601D7">
        <w:rPr>
          <w:noProof/>
        </w:rPr>
        <w:t xml:space="preserve"> million was recorded in this account in 2019, representing an </w:t>
      </w:r>
      <w:r w:rsidR="0017458F" w:rsidRPr="004601D7">
        <w:rPr>
          <w:noProof/>
        </w:rPr>
        <w:t>in</w:t>
      </w:r>
      <w:r w:rsidRPr="004601D7">
        <w:rPr>
          <w:noProof/>
        </w:rPr>
        <w:t xml:space="preserve">crease of </w:t>
      </w:r>
      <w:r w:rsidRPr="004601D7">
        <w:rPr>
          <w:rFonts w:hint="cs"/>
          <w:noProof/>
          <w:rtl/>
        </w:rPr>
        <w:t>9</w:t>
      </w:r>
      <w:r w:rsidRPr="004601D7">
        <w:rPr>
          <w:noProof/>
        </w:rPr>
        <w:t xml:space="preserve">% compared with 2018.  The surplus was caused mainly by the surplus in compensations of employees working in Israel. </w:t>
      </w:r>
    </w:p>
    <w:p w:rsidR="00DF5DC7" w:rsidRPr="004601D7" w:rsidRDefault="00DF5DC7" w:rsidP="00DF5DC7">
      <w:pPr>
        <w:pStyle w:val="BodyText2"/>
        <w:numPr>
          <w:ilvl w:val="0"/>
          <w:numId w:val="2"/>
        </w:numPr>
        <w:tabs>
          <w:tab w:val="num" w:pos="1211"/>
        </w:tabs>
        <w:overflowPunct/>
        <w:autoSpaceDE/>
        <w:autoSpaceDN/>
        <w:adjustRightInd/>
        <w:spacing w:after="120"/>
        <w:ind w:left="142" w:hanging="266"/>
        <w:textAlignment w:val="auto"/>
      </w:pPr>
      <w:r w:rsidRPr="004601D7">
        <w:rPr>
          <w:b/>
          <w:bCs/>
          <w:szCs w:val="24"/>
        </w:rPr>
        <w:t>Balance of Current Transfers:</w:t>
      </w:r>
      <w:r w:rsidRPr="004601D7">
        <w:rPr>
          <w:szCs w:val="24"/>
        </w:rPr>
        <w:t xml:space="preserve"> The balance of current transfers (voluntary or compulsory, not a result of an economic transaction) recorded a surplus of USD 1,692</w:t>
      </w:r>
      <w:r w:rsidRPr="004601D7">
        <w:rPr>
          <w:szCs w:val="24"/>
          <w:lang w:val="en-GB"/>
        </w:rPr>
        <w:t xml:space="preserve"> </w:t>
      </w:r>
      <w:r w:rsidRPr="004601D7">
        <w:rPr>
          <w:szCs w:val="24"/>
        </w:rPr>
        <w:lastRenderedPageBreak/>
        <w:t>million</w:t>
      </w:r>
      <w:r w:rsidR="0017458F" w:rsidRPr="004601D7">
        <w:rPr>
          <w:szCs w:val="24"/>
        </w:rPr>
        <w:t xml:space="preserve"> in 2019</w:t>
      </w:r>
      <w:r w:rsidRPr="004601D7">
        <w:rPr>
          <w:szCs w:val="24"/>
        </w:rPr>
        <w:t xml:space="preserve">, reflecting an </w:t>
      </w:r>
      <w:r w:rsidRPr="004601D7">
        <w:rPr>
          <w:rFonts w:asciiTheme="majorBidi" w:hAnsiTheme="majorBidi" w:cstheme="majorBidi"/>
          <w:szCs w:val="24"/>
        </w:rPr>
        <w:t xml:space="preserve">increase </w:t>
      </w:r>
      <w:r w:rsidRPr="004601D7">
        <w:rPr>
          <w:szCs w:val="24"/>
        </w:rPr>
        <w:t>of 13% compared with 2018, Current transfers by donors represented 25% of the total value of receipts from abroad (inflows to Palestine)</w:t>
      </w:r>
    </w:p>
    <w:p w:rsidR="00DF5DC7" w:rsidRPr="004601D7" w:rsidRDefault="00DF5DC7" w:rsidP="00DF5DC7">
      <w:pPr>
        <w:pStyle w:val="Title"/>
        <w:bidi w:val="0"/>
        <w:ind w:left="-210" w:firstLine="210"/>
        <w:jc w:val="left"/>
        <w:rPr>
          <w:rFonts w:cs="Traditional Arabic"/>
          <w:sz w:val="20"/>
          <w:szCs w:val="20"/>
          <w:rtl/>
        </w:rPr>
      </w:pPr>
    </w:p>
    <w:p w:rsidR="00DF5DC7" w:rsidRPr="004601D7" w:rsidRDefault="00DF5DC7" w:rsidP="00DF5DC7">
      <w:pPr>
        <w:pStyle w:val="Title"/>
        <w:bidi w:val="0"/>
        <w:ind w:left="-210" w:firstLine="210"/>
        <w:jc w:val="left"/>
        <w:rPr>
          <w:rFonts w:cs="Traditional Arabic"/>
          <w:sz w:val="20"/>
          <w:szCs w:val="20"/>
        </w:rPr>
      </w:pPr>
      <w:r w:rsidRPr="004601D7">
        <w:rPr>
          <w:rFonts w:cs="Traditional Arabic"/>
          <w:sz w:val="20"/>
          <w:szCs w:val="20"/>
        </w:rPr>
        <w:t>24.3 Capital and Financial Account</w:t>
      </w:r>
    </w:p>
    <w:p w:rsidR="00DF5DC7" w:rsidRPr="004601D7" w:rsidRDefault="00DF5DC7" w:rsidP="00DF5DC7">
      <w:pPr>
        <w:pStyle w:val="BodyText2"/>
        <w:numPr>
          <w:ilvl w:val="0"/>
          <w:numId w:val="2"/>
        </w:numPr>
        <w:overflowPunct/>
        <w:autoSpaceDE/>
        <w:autoSpaceDN/>
        <w:adjustRightInd/>
        <w:spacing w:after="120"/>
        <w:ind w:left="266" w:hanging="266"/>
        <w:textAlignment w:val="auto"/>
        <w:rPr>
          <w:noProof/>
        </w:rPr>
      </w:pPr>
      <w:r w:rsidRPr="004601D7">
        <w:rPr>
          <w:noProof/>
        </w:rPr>
        <w:t xml:space="preserve">This account recorded a surplus of USD </w:t>
      </w:r>
      <w:r w:rsidRPr="004601D7">
        <w:rPr>
          <w:rFonts w:hint="cs"/>
          <w:noProof/>
          <w:rtl/>
        </w:rPr>
        <w:t>1</w:t>
      </w:r>
      <w:r w:rsidRPr="004601D7">
        <w:rPr>
          <w:noProof/>
        </w:rPr>
        <w:t>,</w:t>
      </w:r>
      <w:r w:rsidRPr="004601D7">
        <w:rPr>
          <w:rFonts w:hint="cs"/>
          <w:noProof/>
          <w:rtl/>
        </w:rPr>
        <w:t>691</w:t>
      </w:r>
      <w:r w:rsidRPr="004601D7">
        <w:rPr>
          <w:noProof/>
        </w:rPr>
        <w:t xml:space="preserve"> million in 2019, mainly due to the surplus in the financial account (direct investments, portfolio investments, other investments and reserve assets), which totaled USD </w:t>
      </w:r>
      <w:r w:rsidRPr="004601D7">
        <w:rPr>
          <w:rFonts w:hint="cs"/>
          <w:noProof/>
          <w:rtl/>
        </w:rPr>
        <w:t>1</w:t>
      </w:r>
      <w:r w:rsidRPr="004601D7">
        <w:rPr>
          <w:noProof/>
        </w:rPr>
        <w:t xml:space="preserve">,407 million as a result of the surplus in currency and deposits in other investments. </w:t>
      </w:r>
    </w:p>
    <w:p w:rsidR="00EE63BF" w:rsidRPr="004601D7" w:rsidRDefault="00EE63BF" w:rsidP="001E75CD">
      <w:pPr>
        <w:pStyle w:val="ListParagraph"/>
        <w:bidi w:val="0"/>
        <w:ind w:left="0"/>
        <w:jc w:val="lowKashida"/>
        <w:rPr>
          <w:rFonts w:cs="Times New Roman"/>
          <w:i/>
          <w:iCs/>
          <w:sz w:val="20"/>
          <w:u w:val="single"/>
        </w:rPr>
      </w:pPr>
    </w:p>
    <w:p w:rsidR="001E75CD" w:rsidRPr="004601D7" w:rsidRDefault="001E75CD" w:rsidP="00915488">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 xml:space="preserve">For more details on the balance of payments, see the tables in chapter </w:t>
      </w:r>
      <w:r w:rsidR="00EE63BF" w:rsidRPr="004601D7">
        <w:rPr>
          <w:rFonts w:cs="Times New Roman"/>
          <w:b/>
          <w:bCs/>
          <w:i/>
          <w:iCs/>
          <w:sz w:val="18"/>
          <w:szCs w:val="18"/>
          <w:u w:val="single"/>
        </w:rPr>
        <w:t>1.24</w:t>
      </w:r>
      <w:r w:rsidRPr="004601D7">
        <w:rPr>
          <w:rFonts w:cs="Times New Roman"/>
          <w:b/>
          <w:bCs/>
          <w:i/>
          <w:iCs/>
          <w:sz w:val="18"/>
          <w:szCs w:val="18"/>
          <w:u w:val="single"/>
        </w:rPr>
        <w:t xml:space="preserve"> of the Arabic section, pages </w:t>
      </w:r>
      <w:r w:rsidR="00426EE0" w:rsidRPr="004601D7">
        <w:rPr>
          <w:rFonts w:cs="Times New Roman"/>
          <w:b/>
          <w:bCs/>
          <w:i/>
          <w:iCs/>
          <w:sz w:val="18"/>
          <w:szCs w:val="18"/>
          <w:u w:val="single"/>
        </w:rPr>
        <w:t>2</w:t>
      </w:r>
      <w:r w:rsidR="001A0F85" w:rsidRPr="004601D7">
        <w:rPr>
          <w:rFonts w:cs="Times New Roman"/>
          <w:b/>
          <w:bCs/>
          <w:i/>
          <w:iCs/>
          <w:sz w:val="18"/>
          <w:szCs w:val="18"/>
          <w:u w:val="single"/>
        </w:rPr>
        <w:t>1</w:t>
      </w:r>
      <w:r w:rsidR="00915488">
        <w:rPr>
          <w:rFonts w:cs="Times New Roman"/>
          <w:b/>
          <w:bCs/>
          <w:i/>
          <w:iCs/>
          <w:sz w:val="18"/>
          <w:szCs w:val="18"/>
          <w:u w:val="single"/>
        </w:rPr>
        <w:t>1</w:t>
      </w:r>
      <w:r w:rsidRPr="004601D7">
        <w:rPr>
          <w:rFonts w:cs="Times New Roman"/>
          <w:b/>
          <w:bCs/>
          <w:i/>
          <w:iCs/>
          <w:sz w:val="18"/>
          <w:szCs w:val="18"/>
          <w:u w:val="single"/>
        </w:rPr>
        <w:t>-</w:t>
      </w:r>
      <w:r w:rsidR="00426EE0" w:rsidRPr="004601D7">
        <w:rPr>
          <w:rFonts w:cs="Times New Roman"/>
          <w:b/>
          <w:bCs/>
          <w:i/>
          <w:iCs/>
          <w:sz w:val="18"/>
          <w:szCs w:val="18"/>
          <w:u w:val="single"/>
        </w:rPr>
        <w:t>2</w:t>
      </w:r>
      <w:r w:rsidR="001A0F85" w:rsidRPr="004601D7">
        <w:rPr>
          <w:rFonts w:cs="Times New Roman"/>
          <w:b/>
          <w:bCs/>
          <w:i/>
          <w:iCs/>
          <w:sz w:val="18"/>
          <w:szCs w:val="18"/>
          <w:u w:val="single"/>
        </w:rPr>
        <w:t>1</w:t>
      </w:r>
      <w:r w:rsidR="00915488">
        <w:rPr>
          <w:rFonts w:cs="Times New Roman"/>
          <w:b/>
          <w:bCs/>
          <w:i/>
          <w:iCs/>
          <w:sz w:val="18"/>
          <w:szCs w:val="18"/>
          <w:u w:val="single"/>
        </w:rPr>
        <w:t>4</w:t>
      </w:r>
      <w:r w:rsidRPr="004601D7">
        <w:rPr>
          <w:rFonts w:cs="Times New Roman"/>
          <w:b/>
          <w:bCs/>
          <w:i/>
          <w:iCs/>
          <w:sz w:val="18"/>
          <w:szCs w:val="18"/>
          <w:u w:val="single"/>
        </w:rPr>
        <w:t>.</w:t>
      </w:r>
    </w:p>
    <w:p w:rsidR="00B0601E" w:rsidRPr="004601D7" w:rsidRDefault="00B0601E" w:rsidP="000C5F39">
      <w:pPr>
        <w:pStyle w:val="Title"/>
        <w:bidi w:val="0"/>
        <w:jc w:val="left"/>
        <w:rPr>
          <w:rFonts w:cs="Traditional Arabic"/>
          <w:sz w:val="20"/>
          <w:szCs w:val="20"/>
        </w:rPr>
      </w:pPr>
    </w:p>
    <w:p w:rsidR="008C2889" w:rsidRPr="004601D7" w:rsidRDefault="008C2889" w:rsidP="008C2889">
      <w:pPr>
        <w:pStyle w:val="Title"/>
        <w:tabs>
          <w:tab w:val="right" w:pos="308"/>
        </w:tabs>
        <w:bidi w:val="0"/>
        <w:jc w:val="left"/>
        <w:rPr>
          <w:rFonts w:cs="Traditional Arabic"/>
          <w:sz w:val="20"/>
          <w:szCs w:val="20"/>
        </w:rPr>
      </w:pPr>
      <w:r w:rsidRPr="004601D7">
        <w:rPr>
          <w:rFonts w:cs="Traditional Arabic"/>
          <w:sz w:val="20"/>
          <w:szCs w:val="20"/>
        </w:rPr>
        <w:t xml:space="preserve">25. Finance and Insurance </w:t>
      </w:r>
    </w:p>
    <w:p w:rsidR="00874FE8" w:rsidRPr="004601D7" w:rsidRDefault="00874FE8" w:rsidP="00874FE8">
      <w:pPr>
        <w:pStyle w:val="BodyText2"/>
        <w:numPr>
          <w:ilvl w:val="0"/>
          <w:numId w:val="2"/>
        </w:numPr>
        <w:overflowPunct/>
        <w:autoSpaceDE/>
        <w:autoSpaceDN/>
        <w:adjustRightInd/>
        <w:spacing w:after="120"/>
        <w:ind w:left="266" w:hanging="266"/>
        <w:textAlignment w:val="auto"/>
        <w:rPr>
          <w:noProof/>
        </w:rPr>
      </w:pPr>
      <w:r w:rsidRPr="004601D7">
        <w:rPr>
          <w:noProof/>
        </w:rPr>
        <w:t>There were 523 enterprises operating in financial intermediation activities in 2019.</w:t>
      </w:r>
      <w:r w:rsidRPr="004601D7" w:rsidDel="00F11EE2">
        <w:rPr>
          <w:noProof/>
        </w:rPr>
        <w:t xml:space="preserve"> </w:t>
      </w:r>
    </w:p>
    <w:p w:rsidR="00874FE8" w:rsidRPr="004601D7" w:rsidRDefault="00874FE8" w:rsidP="00874FE8">
      <w:pPr>
        <w:pStyle w:val="BodyText2"/>
        <w:numPr>
          <w:ilvl w:val="0"/>
          <w:numId w:val="2"/>
        </w:numPr>
        <w:overflowPunct/>
        <w:autoSpaceDE/>
        <w:autoSpaceDN/>
        <w:adjustRightInd/>
        <w:spacing w:after="120"/>
        <w:ind w:left="266" w:hanging="266"/>
        <w:textAlignment w:val="auto"/>
        <w:rPr>
          <w:noProof/>
        </w:rPr>
      </w:pPr>
      <w:r w:rsidRPr="004601D7">
        <w:rPr>
          <w:noProof/>
        </w:rPr>
        <w:t xml:space="preserve">There were </w:t>
      </w:r>
      <w:r w:rsidRPr="004601D7">
        <w:rPr>
          <w:noProof/>
          <w:rtl/>
        </w:rPr>
        <w:t>14</w:t>
      </w:r>
      <w:r w:rsidR="00902E44" w:rsidRPr="004601D7">
        <w:rPr>
          <w:noProof/>
        </w:rPr>
        <w:t>,</w:t>
      </w:r>
      <w:r w:rsidRPr="004601D7">
        <w:rPr>
          <w:noProof/>
          <w:rtl/>
        </w:rPr>
        <w:t>685</w:t>
      </w:r>
      <w:r w:rsidRPr="004601D7">
        <w:rPr>
          <w:noProof/>
        </w:rPr>
        <w:t xml:space="preserve"> employed persons in financial intermediation enterprises in 2019.</w:t>
      </w:r>
    </w:p>
    <w:p w:rsidR="00874FE8" w:rsidRPr="004601D7" w:rsidRDefault="00874FE8" w:rsidP="00874FE8">
      <w:pPr>
        <w:pStyle w:val="BodyText2"/>
        <w:numPr>
          <w:ilvl w:val="0"/>
          <w:numId w:val="2"/>
        </w:numPr>
        <w:overflowPunct/>
        <w:autoSpaceDE/>
        <w:autoSpaceDN/>
        <w:adjustRightInd/>
        <w:spacing w:after="120"/>
        <w:ind w:left="266" w:hanging="266"/>
        <w:textAlignment w:val="auto"/>
        <w:rPr>
          <w:noProof/>
        </w:rPr>
      </w:pPr>
      <w:r w:rsidRPr="004601D7">
        <w:rPr>
          <w:noProof/>
        </w:rPr>
        <w:t>The value of output in financial intermediation enterprises was USD 1</w:t>
      </w:r>
      <w:r w:rsidR="00902E44" w:rsidRPr="004601D7">
        <w:rPr>
          <w:noProof/>
        </w:rPr>
        <w:t>,</w:t>
      </w:r>
      <w:r w:rsidRPr="004601D7">
        <w:rPr>
          <w:noProof/>
        </w:rPr>
        <w:t>004.3 million in 2019.</w:t>
      </w:r>
    </w:p>
    <w:p w:rsidR="00874FE8" w:rsidRPr="004601D7" w:rsidRDefault="00874FE8" w:rsidP="00874FE8">
      <w:pPr>
        <w:pStyle w:val="BodyText2"/>
        <w:numPr>
          <w:ilvl w:val="0"/>
          <w:numId w:val="2"/>
        </w:numPr>
        <w:overflowPunct/>
        <w:autoSpaceDE/>
        <w:autoSpaceDN/>
        <w:adjustRightInd/>
        <w:spacing w:after="120"/>
        <w:ind w:left="266" w:hanging="266"/>
        <w:textAlignment w:val="auto"/>
        <w:rPr>
          <w:noProof/>
        </w:rPr>
      </w:pPr>
      <w:r w:rsidRPr="004601D7">
        <w:rPr>
          <w:noProof/>
        </w:rPr>
        <w:t xml:space="preserve">The value of intermediate consumption in financial intermediation enterprises was USD 288.9  million in 2019. </w:t>
      </w:r>
    </w:p>
    <w:p w:rsidR="00874FE8" w:rsidRPr="004601D7" w:rsidRDefault="00874FE8" w:rsidP="00874FE8">
      <w:pPr>
        <w:pStyle w:val="BodyText2"/>
        <w:numPr>
          <w:ilvl w:val="0"/>
          <w:numId w:val="2"/>
        </w:numPr>
        <w:overflowPunct/>
        <w:autoSpaceDE/>
        <w:autoSpaceDN/>
        <w:adjustRightInd/>
        <w:spacing w:after="120"/>
        <w:ind w:left="266" w:hanging="266"/>
        <w:textAlignment w:val="auto"/>
        <w:rPr>
          <w:noProof/>
        </w:rPr>
      </w:pPr>
      <w:r w:rsidRPr="004601D7">
        <w:rPr>
          <w:noProof/>
        </w:rPr>
        <w:t xml:space="preserve">The gross value added in financial intermediation enterprises was USD 715.4 million in 2019.  </w:t>
      </w:r>
    </w:p>
    <w:p w:rsidR="003936AC" w:rsidRPr="004601D7" w:rsidRDefault="003936AC" w:rsidP="00240D0A">
      <w:pPr>
        <w:pStyle w:val="BodyText"/>
        <w:overflowPunct/>
        <w:autoSpaceDE/>
        <w:autoSpaceDN/>
        <w:adjustRightInd/>
        <w:ind w:left="360"/>
        <w:jc w:val="lowKashida"/>
        <w:textAlignment w:val="auto"/>
        <w:rPr>
          <w:sz w:val="10"/>
          <w:szCs w:val="10"/>
        </w:rPr>
      </w:pPr>
    </w:p>
    <w:p w:rsidR="00BC4685" w:rsidRPr="004601D7" w:rsidRDefault="00BC4685" w:rsidP="00915488">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 xml:space="preserve">For more details on finance and insurance, see the tables in chapter </w:t>
      </w:r>
      <w:r w:rsidR="00EE63BF" w:rsidRPr="004601D7">
        <w:rPr>
          <w:rFonts w:cs="Times New Roman"/>
          <w:b/>
          <w:bCs/>
          <w:i/>
          <w:iCs/>
          <w:sz w:val="18"/>
          <w:szCs w:val="18"/>
          <w:u w:val="single"/>
        </w:rPr>
        <w:t>1.25</w:t>
      </w:r>
      <w:r w:rsidRPr="004601D7">
        <w:rPr>
          <w:rFonts w:cs="Times New Roman"/>
          <w:b/>
          <w:bCs/>
          <w:i/>
          <w:iCs/>
          <w:sz w:val="18"/>
          <w:szCs w:val="18"/>
          <w:u w:val="single"/>
        </w:rPr>
        <w:t xml:space="preserve"> of the Arabic section, pages</w:t>
      </w:r>
      <w:r w:rsidRPr="004601D7">
        <w:rPr>
          <w:rFonts w:cs="Times New Roman"/>
          <w:b/>
          <w:bCs/>
          <w:i/>
          <w:iCs/>
          <w:sz w:val="18"/>
          <w:szCs w:val="18"/>
          <w:u w:val="single"/>
          <w:rtl/>
        </w:rPr>
        <w:t xml:space="preserve"> </w:t>
      </w:r>
      <w:r w:rsidR="00426EE0" w:rsidRPr="004601D7">
        <w:rPr>
          <w:rFonts w:cs="Times New Roman"/>
          <w:b/>
          <w:bCs/>
          <w:i/>
          <w:iCs/>
          <w:sz w:val="18"/>
          <w:szCs w:val="18"/>
          <w:u w:val="single"/>
        </w:rPr>
        <w:t>2</w:t>
      </w:r>
      <w:r w:rsidR="001A0F85" w:rsidRPr="004601D7">
        <w:rPr>
          <w:rFonts w:cs="Times New Roman"/>
          <w:b/>
          <w:bCs/>
          <w:i/>
          <w:iCs/>
          <w:sz w:val="18"/>
          <w:szCs w:val="18"/>
          <w:u w:val="single"/>
        </w:rPr>
        <w:t>1</w:t>
      </w:r>
      <w:r w:rsidR="00915488">
        <w:rPr>
          <w:rFonts w:cs="Times New Roman"/>
          <w:b/>
          <w:bCs/>
          <w:i/>
          <w:iCs/>
          <w:sz w:val="18"/>
          <w:szCs w:val="18"/>
          <w:u w:val="single"/>
        </w:rPr>
        <w:t>0</w:t>
      </w:r>
      <w:r w:rsidRPr="004601D7">
        <w:rPr>
          <w:rFonts w:cs="Times New Roman"/>
          <w:b/>
          <w:bCs/>
          <w:i/>
          <w:iCs/>
          <w:sz w:val="18"/>
          <w:szCs w:val="18"/>
          <w:u w:val="single"/>
        </w:rPr>
        <w:t>-</w:t>
      </w:r>
      <w:r w:rsidR="00426EE0" w:rsidRPr="004601D7">
        <w:rPr>
          <w:rFonts w:cs="Times New Roman" w:hint="cs"/>
          <w:b/>
          <w:bCs/>
          <w:i/>
          <w:iCs/>
          <w:sz w:val="18"/>
          <w:szCs w:val="18"/>
          <w:u w:val="single"/>
          <w:rtl/>
        </w:rPr>
        <w:t>2</w:t>
      </w:r>
      <w:r w:rsidR="00915488">
        <w:rPr>
          <w:rFonts w:cs="Times New Roman"/>
          <w:b/>
          <w:bCs/>
          <w:i/>
          <w:iCs/>
          <w:sz w:val="18"/>
          <w:szCs w:val="18"/>
          <w:u w:val="single"/>
        </w:rPr>
        <w:t>18</w:t>
      </w:r>
      <w:r w:rsidRPr="004601D7">
        <w:rPr>
          <w:rFonts w:cs="Times New Roman"/>
          <w:b/>
          <w:bCs/>
          <w:i/>
          <w:iCs/>
          <w:sz w:val="18"/>
          <w:szCs w:val="18"/>
          <w:u w:val="single"/>
        </w:rPr>
        <w:t>.</w:t>
      </w:r>
    </w:p>
    <w:p w:rsidR="00E76F27" w:rsidRPr="004601D7" w:rsidRDefault="00E76F27" w:rsidP="00E76F27">
      <w:pPr>
        <w:pStyle w:val="ListParagraph"/>
        <w:bidi w:val="0"/>
        <w:ind w:left="0"/>
        <w:jc w:val="lowKashida"/>
        <w:rPr>
          <w:rFonts w:cs="Times New Roman"/>
          <w:b/>
          <w:bCs/>
          <w:i/>
          <w:iCs/>
          <w:sz w:val="18"/>
          <w:szCs w:val="18"/>
          <w:u w:val="single"/>
        </w:rPr>
      </w:pPr>
    </w:p>
    <w:p w:rsidR="00BC4685" w:rsidRPr="004601D7" w:rsidRDefault="008C2889" w:rsidP="00B211DE">
      <w:pPr>
        <w:pStyle w:val="Title"/>
        <w:tabs>
          <w:tab w:val="right" w:pos="308"/>
        </w:tabs>
        <w:bidi w:val="0"/>
        <w:jc w:val="left"/>
        <w:rPr>
          <w:rFonts w:cs="Traditional Arabic"/>
          <w:sz w:val="20"/>
          <w:szCs w:val="20"/>
        </w:rPr>
      </w:pPr>
      <w:r w:rsidRPr="004601D7">
        <w:rPr>
          <w:rFonts w:cs="Traditional Arabic"/>
          <w:sz w:val="20"/>
          <w:szCs w:val="20"/>
        </w:rPr>
        <w:t xml:space="preserve">26. </w:t>
      </w:r>
      <w:r w:rsidR="00495C6D" w:rsidRPr="004601D7">
        <w:rPr>
          <w:rFonts w:cs="Traditional Arabic"/>
          <w:sz w:val="20"/>
          <w:szCs w:val="20"/>
        </w:rPr>
        <w:t>International</w:t>
      </w:r>
      <w:r w:rsidR="00BC4685" w:rsidRPr="004601D7">
        <w:rPr>
          <w:rFonts w:cs="Traditional Arabic"/>
          <w:sz w:val="20"/>
          <w:szCs w:val="20"/>
        </w:rPr>
        <w:t xml:space="preserve"> Investment Position</w:t>
      </w:r>
    </w:p>
    <w:p w:rsidR="00E76F27" w:rsidRPr="004601D7" w:rsidRDefault="00E76F27" w:rsidP="00E76F27">
      <w:pPr>
        <w:pStyle w:val="BodyText2"/>
        <w:numPr>
          <w:ilvl w:val="0"/>
          <w:numId w:val="2"/>
        </w:numPr>
        <w:overflowPunct/>
        <w:autoSpaceDE/>
        <w:autoSpaceDN/>
        <w:adjustRightInd/>
        <w:spacing w:after="120"/>
        <w:ind w:left="266" w:hanging="266"/>
        <w:textAlignment w:val="auto"/>
        <w:rPr>
          <w:noProof/>
        </w:rPr>
      </w:pPr>
      <w:r w:rsidRPr="004601D7">
        <w:rPr>
          <w:noProof/>
        </w:rPr>
        <w:t>International Investment Position (external assets – foreign liabilities) for Palestine at the end of 2019 revealed that the net IIP amounted to about USD 1,84</w:t>
      </w:r>
      <w:r w:rsidRPr="004601D7">
        <w:rPr>
          <w:rFonts w:hint="cs"/>
          <w:noProof/>
          <w:rtl/>
        </w:rPr>
        <w:t>2</w:t>
      </w:r>
      <w:r w:rsidRPr="004601D7">
        <w:rPr>
          <w:noProof/>
        </w:rPr>
        <w:t xml:space="preserve"> million, which means that the Palestinian economy’s investments outside Palestine outweigh investments in Palestine from abroad.  </w:t>
      </w:r>
    </w:p>
    <w:p w:rsidR="00E76F27" w:rsidRPr="004601D7" w:rsidRDefault="00E76F27" w:rsidP="00E76F27">
      <w:pPr>
        <w:pStyle w:val="BodyText2"/>
        <w:numPr>
          <w:ilvl w:val="0"/>
          <w:numId w:val="2"/>
        </w:numPr>
        <w:overflowPunct/>
        <w:autoSpaceDE/>
        <w:autoSpaceDN/>
        <w:adjustRightInd/>
        <w:spacing w:after="120"/>
        <w:ind w:left="266" w:hanging="266"/>
        <w:textAlignment w:val="auto"/>
        <w:rPr>
          <w:noProof/>
        </w:rPr>
      </w:pPr>
      <w:r w:rsidRPr="004601D7">
        <w:rPr>
          <w:noProof/>
        </w:rPr>
        <w:t>The total stocks of External Assets for Palestine amounted to USD 7,27</w:t>
      </w:r>
      <w:r w:rsidRPr="004601D7">
        <w:rPr>
          <w:rFonts w:hint="cs"/>
          <w:noProof/>
          <w:rtl/>
        </w:rPr>
        <w:t>3</w:t>
      </w:r>
      <w:r w:rsidRPr="004601D7">
        <w:rPr>
          <w:noProof/>
        </w:rPr>
        <w:t xml:space="preserve"> million, the Foreign Direct Investment abroad contributed to </w:t>
      </w:r>
      <w:r w:rsidRPr="004601D7">
        <w:rPr>
          <w:rFonts w:hint="cs"/>
          <w:noProof/>
          <w:rtl/>
        </w:rPr>
        <w:t>4</w:t>
      </w:r>
      <w:r w:rsidRPr="004601D7">
        <w:rPr>
          <w:noProof/>
        </w:rPr>
        <w:t xml:space="preserve">%, Portfolio Investments abroad reached </w:t>
      </w:r>
      <w:r w:rsidRPr="004601D7">
        <w:rPr>
          <w:rFonts w:hint="cs"/>
          <w:noProof/>
          <w:rtl/>
        </w:rPr>
        <w:t>19</w:t>
      </w:r>
      <w:r w:rsidRPr="004601D7">
        <w:rPr>
          <w:noProof/>
        </w:rPr>
        <w:t xml:space="preserve">%, while Other Foreign Investments abroad (mainly currency and deposits) reached </w:t>
      </w:r>
      <w:r w:rsidRPr="004601D7">
        <w:rPr>
          <w:rFonts w:hint="cs"/>
          <w:noProof/>
          <w:rtl/>
        </w:rPr>
        <w:t>68</w:t>
      </w:r>
      <w:r w:rsidRPr="004601D7">
        <w:rPr>
          <w:noProof/>
        </w:rPr>
        <w:t xml:space="preserve">% and Reserve Assets amounted to </w:t>
      </w:r>
      <w:r w:rsidRPr="004601D7">
        <w:rPr>
          <w:rFonts w:hint="cs"/>
          <w:noProof/>
          <w:rtl/>
        </w:rPr>
        <w:t>9</w:t>
      </w:r>
      <w:r w:rsidRPr="004601D7">
        <w:rPr>
          <w:noProof/>
        </w:rPr>
        <w:t xml:space="preserve">%.  At sector level, the external investments of banks sector represented a large share of the external assets, standing at </w:t>
      </w:r>
      <w:r w:rsidRPr="004601D7">
        <w:rPr>
          <w:rFonts w:hint="cs"/>
          <w:noProof/>
          <w:rtl/>
        </w:rPr>
        <w:t>71</w:t>
      </w:r>
      <w:r w:rsidRPr="004601D7">
        <w:rPr>
          <w:noProof/>
        </w:rPr>
        <w:t>% of the total value of external assets.</w:t>
      </w:r>
    </w:p>
    <w:p w:rsidR="00E76F27" w:rsidRPr="004601D7" w:rsidRDefault="00E76F27" w:rsidP="00E76F27">
      <w:pPr>
        <w:pStyle w:val="BodyText2"/>
        <w:numPr>
          <w:ilvl w:val="0"/>
          <w:numId w:val="2"/>
        </w:numPr>
        <w:overflowPunct/>
        <w:autoSpaceDE/>
        <w:autoSpaceDN/>
        <w:adjustRightInd/>
        <w:spacing w:after="120"/>
        <w:ind w:left="266" w:hanging="266"/>
        <w:textAlignment w:val="auto"/>
        <w:rPr>
          <w:noProof/>
        </w:rPr>
      </w:pPr>
      <w:r w:rsidRPr="004601D7">
        <w:rPr>
          <w:noProof/>
        </w:rPr>
        <w:t>The total stocks of Foreign Liabilities in Palestine (Stocks of non-residents invested in Palestine) amounted to USD 5,43</w:t>
      </w:r>
      <w:r w:rsidRPr="004601D7">
        <w:rPr>
          <w:rFonts w:hint="cs"/>
          <w:noProof/>
          <w:rtl/>
        </w:rPr>
        <w:t>1</w:t>
      </w:r>
      <w:r w:rsidRPr="004601D7">
        <w:rPr>
          <w:noProof/>
        </w:rPr>
        <w:t xml:space="preserve"> million. The Foreign Direct Investment in Palestine contributed to </w:t>
      </w:r>
      <w:r w:rsidRPr="004601D7">
        <w:rPr>
          <w:rFonts w:hint="cs"/>
          <w:noProof/>
          <w:rtl/>
        </w:rPr>
        <w:t>51</w:t>
      </w:r>
      <w:r w:rsidRPr="004601D7">
        <w:rPr>
          <w:noProof/>
        </w:rPr>
        <w:t xml:space="preserve">%, Portfolio Investments in Palestine reached </w:t>
      </w:r>
      <w:r w:rsidRPr="004601D7">
        <w:rPr>
          <w:rFonts w:hint="cs"/>
          <w:noProof/>
          <w:rtl/>
        </w:rPr>
        <w:t>13</w:t>
      </w:r>
      <w:r w:rsidRPr="004601D7">
        <w:rPr>
          <w:noProof/>
        </w:rPr>
        <w:t xml:space="preserve">% and Other Investments in Palestine (mainly loans and deposits from abroad) amounted to </w:t>
      </w:r>
      <w:r w:rsidRPr="004601D7">
        <w:rPr>
          <w:rFonts w:hint="cs"/>
          <w:noProof/>
          <w:rtl/>
        </w:rPr>
        <w:t>36</w:t>
      </w:r>
      <w:r w:rsidRPr="004601D7">
        <w:rPr>
          <w:noProof/>
        </w:rPr>
        <w:t xml:space="preserve">%.  According to sectoral level, the foreign investments in banks sector contributed a major value in the foreign liabilities, represented by </w:t>
      </w:r>
      <w:r w:rsidRPr="004601D7">
        <w:rPr>
          <w:rFonts w:hint="cs"/>
          <w:noProof/>
          <w:rtl/>
        </w:rPr>
        <w:t>37</w:t>
      </w:r>
      <w:r w:rsidRPr="004601D7">
        <w:rPr>
          <w:noProof/>
        </w:rPr>
        <w:t>% of the total value of foreign liabilities on the Palestinian economy.</w:t>
      </w:r>
    </w:p>
    <w:p w:rsidR="00E76F27" w:rsidRPr="004601D7" w:rsidRDefault="00E76F27" w:rsidP="00E76F27">
      <w:pPr>
        <w:pStyle w:val="BodyText2"/>
        <w:numPr>
          <w:ilvl w:val="0"/>
          <w:numId w:val="2"/>
        </w:numPr>
        <w:overflowPunct/>
        <w:autoSpaceDE/>
        <w:autoSpaceDN/>
        <w:adjustRightInd/>
        <w:spacing w:after="120"/>
        <w:ind w:left="266" w:hanging="266"/>
        <w:textAlignment w:val="auto"/>
        <w:rPr>
          <w:noProof/>
        </w:rPr>
      </w:pPr>
      <w:r w:rsidRPr="004601D7">
        <w:rPr>
          <w:noProof/>
        </w:rPr>
        <w:lastRenderedPageBreak/>
        <w:t>The Gross External Debt on different sectors of the Palestinian economy reached USD 1,</w:t>
      </w:r>
      <w:r w:rsidRPr="004601D7">
        <w:rPr>
          <w:rFonts w:hint="cs"/>
          <w:noProof/>
          <w:rtl/>
        </w:rPr>
        <w:t>967</w:t>
      </w:r>
      <w:r w:rsidRPr="004601D7">
        <w:rPr>
          <w:noProof/>
        </w:rPr>
        <w:t xml:space="preserve"> million</w:t>
      </w:r>
      <w:r w:rsidRPr="004601D7">
        <w:rPr>
          <w:rFonts w:hint="cs"/>
          <w:noProof/>
          <w:rtl/>
        </w:rPr>
        <w:t xml:space="preserve"> </w:t>
      </w:r>
      <w:r w:rsidRPr="004601D7">
        <w:rPr>
          <w:noProof/>
        </w:rPr>
        <w:t xml:space="preserve">increased by 32% compared with previous year.  The debt on government sector represented </w:t>
      </w:r>
      <w:r w:rsidRPr="004601D7">
        <w:rPr>
          <w:rFonts w:hint="cs"/>
          <w:noProof/>
          <w:rtl/>
        </w:rPr>
        <w:t>61</w:t>
      </w:r>
      <w:r w:rsidRPr="004601D7">
        <w:rPr>
          <w:noProof/>
        </w:rPr>
        <w:t xml:space="preserve">%, while debt on banks sector reached </w:t>
      </w:r>
      <w:r w:rsidRPr="004601D7">
        <w:rPr>
          <w:rFonts w:hint="cs"/>
          <w:noProof/>
          <w:rtl/>
        </w:rPr>
        <w:t>36</w:t>
      </w:r>
      <w:r w:rsidRPr="004601D7">
        <w:rPr>
          <w:noProof/>
        </w:rPr>
        <w:t xml:space="preserve">%, and debt on other sectors (Nonbank financial corporations, non-financial corporations, NGOs and households sectors) amounted to </w:t>
      </w:r>
      <w:r w:rsidRPr="004601D7">
        <w:rPr>
          <w:rFonts w:hint="cs"/>
          <w:noProof/>
          <w:rtl/>
        </w:rPr>
        <w:t>2</w:t>
      </w:r>
      <w:r w:rsidRPr="004601D7">
        <w:rPr>
          <w:noProof/>
        </w:rPr>
        <w:t xml:space="preserve">%, and the lending between affiliated companies reached </w:t>
      </w:r>
      <w:r w:rsidRPr="004601D7">
        <w:rPr>
          <w:rFonts w:hint="cs"/>
          <w:noProof/>
          <w:rtl/>
        </w:rPr>
        <w:t>1</w:t>
      </w:r>
      <w:r w:rsidRPr="004601D7">
        <w:rPr>
          <w:noProof/>
        </w:rPr>
        <w:t>%.</w:t>
      </w:r>
    </w:p>
    <w:p w:rsidR="002977AC" w:rsidRPr="004601D7" w:rsidRDefault="002977AC" w:rsidP="00915488">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 xml:space="preserve">For more details </w:t>
      </w:r>
      <w:r w:rsidR="00EF03E1" w:rsidRPr="004601D7">
        <w:rPr>
          <w:rFonts w:cs="Times New Roman"/>
          <w:b/>
          <w:bCs/>
          <w:i/>
          <w:iCs/>
          <w:sz w:val="18"/>
          <w:szCs w:val="18"/>
          <w:u w:val="single"/>
        </w:rPr>
        <w:t xml:space="preserve">on the </w:t>
      </w:r>
      <w:r w:rsidRPr="004601D7">
        <w:rPr>
          <w:rFonts w:cs="Times New Roman"/>
          <w:b/>
          <w:bCs/>
          <w:i/>
          <w:iCs/>
          <w:sz w:val="18"/>
          <w:szCs w:val="18"/>
          <w:u w:val="single"/>
        </w:rPr>
        <w:t xml:space="preserve"> international investment position, see the table in chapter 1.2</w:t>
      </w:r>
      <w:r w:rsidR="005779E5" w:rsidRPr="004601D7">
        <w:rPr>
          <w:rFonts w:cs="Times New Roman"/>
          <w:b/>
          <w:bCs/>
          <w:i/>
          <w:iCs/>
          <w:sz w:val="18"/>
          <w:szCs w:val="18"/>
          <w:u w:val="single"/>
        </w:rPr>
        <w:t>6</w:t>
      </w:r>
      <w:r w:rsidRPr="004601D7">
        <w:rPr>
          <w:rFonts w:cs="Times New Roman"/>
          <w:b/>
          <w:bCs/>
          <w:i/>
          <w:iCs/>
          <w:sz w:val="18"/>
          <w:szCs w:val="18"/>
          <w:u w:val="single"/>
        </w:rPr>
        <w:t xml:space="preserve"> of the Arabic section, pages</w:t>
      </w:r>
      <w:r w:rsidR="00915488">
        <w:rPr>
          <w:rFonts w:cs="Times New Roman" w:hint="cs"/>
          <w:b/>
          <w:bCs/>
          <w:i/>
          <w:iCs/>
          <w:sz w:val="18"/>
          <w:szCs w:val="18"/>
          <w:u w:val="single"/>
          <w:rtl/>
        </w:rPr>
        <w:t>219</w:t>
      </w:r>
      <w:r w:rsidR="00546837" w:rsidRPr="004601D7">
        <w:rPr>
          <w:rFonts w:cs="Times New Roman"/>
          <w:b/>
          <w:bCs/>
          <w:i/>
          <w:iCs/>
          <w:sz w:val="18"/>
          <w:szCs w:val="18"/>
          <w:u w:val="single"/>
        </w:rPr>
        <w:t>-</w:t>
      </w:r>
      <w:r w:rsidR="001A0F85" w:rsidRPr="004601D7">
        <w:rPr>
          <w:rFonts w:cs="Times New Roman" w:hint="cs"/>
          <w:b/>
          <w:bCs/>
          <w:i/>
          <w:iCs/>
          <w:sz w:val="18"/>
          <w:szCs w:val="18"/>
          <w:u w:val="single"/>
          <w:rtl/>
        </w:rPr>
        <w:t>22</w:t>
      </w:r>
      <w:r w:rsidR="00915488">
        <w:rPr>
          <w:rFonts w:cs="Times New Roman" w:hint="cs"/>
          <w:b/>
          <w:bCs/>
          <w:i/>
          <w:iCs/>
          <w:sz w:val="18"/>
          <w:szCs w:val="18"/>
          <w:u w:val="single"/>
          <w:rtl/>
        </w:rPr>
        <w:t>2</w:t>
      </w:r>
    </w:p>
    <w:p w:rsidR="002977AC" w:rsidRPr="004601D7" w:rsidRDefault="002977AC" w:rsidP="002977AC">
      <w:pPr>
        <w:pStyle w:val="Title"/>
        <w:bidi w:val="0"/>
        <w:ind w:left="98"/>
        <w:jc w:val="left"/>
        <w:rPr>
          <w:rFonts w:cs="Times New Roman"/>
          <w:i/>
          <w:iCs/>
          <w:sz w:val="20"/>
          <w:u w:val="single"/>
        </w:rPr>
      </w:pPr>
    </w:p>
    <w:p w:rsidR="00343207" w:rsidRPr="004601D7" w:rsidRDefault="00343207" w:rsidP="00343207">
      <w:pPr>
        <w:jc w:val="lowKashida"/>
        <w:rPr>
          <w:b/>
          <w:bCs/>
        </w:rPr>
      </w:pPr>
      <w:r w:rsidRPr="004601D7">
        <w:rPr>
          <w:b/>
          <w:bCs/>
        </w:rPr>
        <w:t>27. Satellite Accounts</w:t>
      </w:r>
    </w:p>
    <w:p w:rsidR="00343207" w:rsidRPr="004601D7" w:rsidRDefault="00343207" w:rsidP="00343207">
      <w:pPr>
        <w:jc w:val="lowKashida"/>
        <w:rPr>
          <w:b/>
          <w:bCs/>
        </w:rPr>
      </w:pPr>
      <w:r w:rsidRPr="004601D7">
        <w:rPr>
          <w:b/>
          <w:bCs/>
        </w:rPr>
        <w:t>27.1 Palestinian Health Accounts</w:t>
      </w:r>
    </w:p>
    <w:p w:rsidR="00343207" w:rsidRPr="004601D7" w:rsidRDefault="00343207" w:rsidP="00343207">
      <w:pPr>
        <w:numPr>
          <w:ilvl w:val="0"/>
          <w:numId w:val="1"/>
        </w:numPr>
        <w:ind w:left="714" w:hanging="350"/>
        <w:jc w:val="both"/>
        <w:rPr>
          <w:noProof/>
        </w:rPr>
      </w:pPr>
      <w:r w:rsidRPr="004601D7">
        <w:rPr>
          <w:noProof/>
        </w:rPr>
        <w:t>The total current expenditure on health totaled USD 1,571.7 million in 2018.</w:t>
      </w:r>
    </w:p>
    <w:p w:rsidR="00343207" w:rsidRPr="004601D7" w:rsidRDefault="00343207" w:rsidP="00343207">
      <w:pPr>
        <w:numPr>
          <w:ilvl w:val="0"/>
          <w:numId w:val="1"/>
        </w:numPr>
        <w:ind w:left="714" w:hanging="350"/>
        <w:jc w:val="both"/>
        <w:rPr>
          <w:noProof/>
        </w:rPr>
      </w:pPr>
      <w:r w:rsidRPr="004601D7">
        <w:t>The percentage of health expenditure to Gross Domestic Product (GDP) in Palestine at current prices was 9.8% in 2018 and 9.3% in 2017.</w:t>
      </w:r>
    </w:p>
    <w:p w:rsidR="00343207" w:rsidRPr="004601D7" w:rsidRDefault="00343207" w:rsidP="00343207">
      <w:pPr>
        <w:pStyle w:val="Title"/>
        <w:bidi w:val="0"/>
        <w:ind w:left="360"/>
        <w:jc w:val="both"/>
        <w:rPr>
          <w:b w:val="0"/>
          <w:bCs w:val="0"/>
          <w:szCs w:val="24"/>
        </w:rPr>
      </w:pPr>
    </w:p>
    <w:p w:rsidR="00343207" w:rsidRPr="004601D7" w:rsidRDefault="00343207" w:rsidP="00343207">
      <w:pPr>
        <w:jc w:val="lowKashida"/>
        <w:rPr>
          <w:b/>
          <w:bCs/>
        </w:rPr>
      </w:pPr>
      <w:r w:rsidRPr="004601D7">
        <w:rPr>
          <w:b/>
          <w:bCs/>
        </w:rPr>
        <w:t>27.2 Tourisim Satellite Accounts:</w:t>
      </w:r>
    </w:p>
    <w:p w:rsidR="00343207" w:rsidRPr="004601D7" w:rsidRDefault="00343207" w:rsidP="00343207">
      <w:pPr>
        <w:numPr>
          <w:ilvl w:val="0"/>
          <w:numId w:val="1"/>
        </w:numPr>
        <w:ind w:left="714" w:hanging="350"/>
        <w:jc w:val="both"/>
        <w:rPr>
          <w:noProof/>
        </w:rPr>
      </w:pPr>
      <w:r w:rsidRPr="004601D7">
        <w:rPr>
          <w:noProof/>
        </w:rPr>
        <w:t xml:space="preserve">The consumption on inbound tourism totaled USD 1,312.8 million in the year 2018.            </w:t>
      </w:r>
    </w:p>
    <w:p w:rsidR="00343207" w:rsidRPr="004601D7" w:rsidRDefault="00343207" w:rsidP="00343207">
      <w:pPr>
        <w:numPr>
          <w:ilvl w:val="0"/>
          <w:numId w:val="1"/>
        </w:numPr>
        <w:ind w:left="714" w:hanging="350"/>
        <w:jc w:val="both"/>
        <w:rPr>
          <w:noProof/>
        </w:rPr>
      </w:pPr>
      <w:r w:rsidRPr="004601D7">
        <w:rPr>
          <w:noProof/>
        </w:rPr>
        <w:t>The expenditure on domestic tourism totaled USD 160.7 million in the year 2018.</w:t>
      </w:r>
    </w:p>
    <w:p w:rsidR="00343207" w:rsidRDefault="00343207" w:rsidP="00343207">
      <w:pPr>
        <w:pStyle w:val="ListParagraph"/>
        <w:numPr>
          <w:ilvl w:val="0"/>
          <w:numId w:val="1"/>
        </w:numPr>
        <w:bidi w:val="0"/>
        <w:ind w:left="714" w:hanging="350"/>
        <w:jc w:val="both"/>
        <w:rPr>
          <w:rFonts w:cs="Times New Roman"/>
          <w:sz w:val="20"/>
        </w:rPr>
      </w:pPr>
      <w:r w:rsidRPr="004601D7">
        <w:rPr>
          <w:rFonts w:cs="Times New Roman"/>
          <w:sz w:val="20"/>
        </w:rPr>
        <w:t>Total expenditure on outbound tourism by Palestinians abroad was USD 326.5 million in 2018.</w:t>
      </w:r>
    </w:p>
    <w:p w:rsidR="004601D7" w:rsidRDefault="004601D7" w:rsidP="004601D7">
      <w:pPr>
        <w:pStyle w:val="ListParagraph"/>
        <w:bidi w:val="0"/>
        <w:ind w:left="714"/>
        <w:jc w:val="both"/>
        <w:rPr>
          <w:rFonts w:cs="Times New Roman"/>
          <w:sz w:val="20"/>
        </w:rPr>
      </w:pPr>
    </w:p>
    <w:p w:rsidR="00AE2FC8" w:rsidRPr="004601D7" w:rsidRDefault="00AE2FC8" w:rsidP="00AE2FC8">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details on the</w:t>
      </w:r>
      <w:r>
        <w:rPr>
          <w:rFonts w:cs="Times New Roman"/>
          <w:b/>
          <w:bCs/>
          <w:i/>
          <w:iCs/>
          <w:sz w:val="18"/>
          <w:szCs w:val="18"/>
          <w:u w:val="single"/>
        </w:rPr>
        <w:t xml:space="preserve"> </w:t>
      </w:r>
      <w:r w:rsidRPr="00AE2FC8">
        <w:rPr>
          <w:rFonts w:cs="Times New Roman"/>
          <w:b/>
          <w:bCs/>
          <w:i/>
          <w:iCs/>
          <w:sz w:val="18"/>
          <w:szCs w:val="18"/>
          <w:u w:val="single"/>
        </w:rPr>
        <w:t>Satellite Accounts</w:t>
      </w:r>
      <w:r w:rsidRPr="004601D7">
        <w:rPr>
          <w:rFonts w:cs="Times New Roman"/>
          <w:b/>
          <w:bCs/>
          <w:i/>
          <w:iCs/>
          <w:sz w:val="18"/>
          <w:szCs w:val="18"/>
          <w:u w:val="single"/>
        </w:rPr>
        <w:t>, see the table in chapter 1.</w:t>
      </w:r>
      <w:r>
        <w:rPr>
          <w:rFonts w:cs="Times New Roman"/>
          <w:b/>
          <w:bCs/>
          <w:i/>
          <w:iCs/>
          <w:sz w:val="18"/>
          <w:szCs w:val="18"/>
          <w:u w:val="single"/>
        </w:rPr>
        <w:t>27</w:t>
      </w:r>
      <w:r w:rsidRPr="004601D7">
        <w:rPr>
          <w:rFonts w:cs="Times New Roman"/>
          <w:b/>
          <w:bCs/>
          <w:i/>
          <w:iCs/>
          <w:sz w:val="18"/>
          <w:szCs w:val="18"/>
          <w:u w:val="single"/>
        </w:rPr>
        <w:t xml:space="preserve"> of the Arabic section, pages</w:t>
      </w:r>
      <w:r w:rsidRPr="004601D7">
        <w:rPr>
          <w:rFonts w:cs="Times New Roman"/>
          <w:b/>
          <w:bCs/>
          <w:i/>
          <w:iCs/>
          <w:noProof w:val="0"/>
          <w:sz w:val="18"/>
          <w:szCs w:val="18"/>
          <w:u w:val="single"/>
          <w:rtl/>
        </w:rPr>
        <w:t xml:space="preserve"> </w:t>
      </w:r>
      <w:r w:rsidRPr="004601D7">
        <w:rPr>
          <w:rFonts w:cs="Times New Roman" w:hint="cs"/>
          <w:b/>
          <w:bCs/>
          <w:i/>
          <w:iCs/>
          <w:sz w:val="18"/>
          <w:szCs w:val="18"/>
          <w:u w:val="single"/>
          <w:rtl/>
        </w:rPr>
        <w:t>223</w:t>
      </w:r>
      <w:r w:rsidRPr="004601D7">
        <w:rPr>
          <w:rFonts w:cs="Times New Roman"/>
          <w:b/>
          <w:bCs/>
          <w:i/>
          <w:iCs/>
          <w:sz w:val="18"/>
          <w:szCs w:val="18"/>
          <w:u w:val="single"/>
        </w:rPr>
        <w:t>-</w:t>
      </w:r>
      <w:r w:rsidRPr="004601D7">
        <w:rPr>
          <w:rFonts w:cs="Times New Roman" w:hint="cs"/>
          <w:b/>
          <w:bCs/>
          <w:i/>
          <w:iCs/>
          <w:sz w:val="18"/>
          <w:szCs w:val="18"/>
          <w:u w:val="single"/>
          <w:rtl/>
        </w:rPr>
        <w:t>226</w:t>
      </w:r>
    </w:p>
    <w:p w:rsidR="00AE2FC8" w:rsidRPr="004601D7" w:rsidRDefault="00AE2FC8" w:rsidP="00AE2FC8">
      <w:pPr>
        <w:pStyle w:val="ListParagraph"/>
        <w:bidi w:val="0"/>
        <w:ind w:left="714"/>
        <w:jc w:val="both"/>
        <w:rPr>
          <w:rFonts w:cs="Times New Roman"/>
          <w:sz w:val="20"/>
        </w:rPr>
      </w:pPr>
    </w:p>
    <w:p w:rsidR="004601D7" w:rsidRPr="004601D7" w:rsidRDefault="004601D7" w:rsidP="004601D7">
      <w:pPr>
        <w:jc w:val="lowKashida"/>
        <w:rPr>
          <w:b/>
          <w:bCs/>
        </w:rPr>
      </w:pPr>
      <w:r w:rsidRPr="004601D7">
        <w:rPr>
          <w:b/>
          <w:bCs/>
        </w:rPr>
        <w:t>2</w:t>
      </w:r>
      <w:r>
        <w:rPr>
          <w:b/>
          <w:bCs/>
        </w:rPr>
        <w:t>8</w:t>
      </w:r>
      <w:r w:rsidRPr="004601D7">
        <w:rPr>
          <w:b/>
          <w:bCs/>
        </w:rPr>
        <w:t xml:space="preserve">. Special </w:t>
      </w:r>
      <w:r>
        <w:rPr>
          <w:b/>
          <w:bCs/>
        </w:rPr>
        <w:t>T</w:t>
      </w:r>
      <w:r w:rsidRPr="004601D7">
        <w:rPr>
          <w:b/>
          <w:bCs/>
        </w:rPr>
        <w:t>opics</w:t>
      </w:r>
    </w:p>
    <w:p w:rsidR="004601D7" w:rsidRPr="004601D7" w:rsidRDefault="004601D7" w:rsidP="004601D7">
      <w:pPr>
        <w:jc w:val="lowKashida"/>
        <w:rPr>
          <w:b/>
          <w:bCs/>
        </w:rPr>
      </w:pPr>
      <w:r w:rsidRPr="004601D7">
        <w:rPr>
          <w:b/>
          <w:bCs/>
        </w:rPr>
        <w:t>2</w:t>
      </w:r>
      <w:r>
        <w:rPr>
          <w:b/>
          <w:bCs/>
        </w:rPr>
        <w:t>8</w:t>
      </w:r>
      <w:r w:rsidRPr="004601D7">
        <w:rPr>
          <w:b/>
          <w:bCs/>
        </w:rPr>
        <w:t>.1 The impact of the COVID-19 pandemic on the socio-economic conditions of households</w:t>
      </w:r>
    </w:p>
    <w:p w:rsidR="004601D7" w:rsidRDefault="00F65C07" w:rsidP="00AE2FC8">
      <w:pPr>
        <w:numPr>
          <w:ilvl w:val="0"/>
          <w:numId w:val="1"/>
        </w:numPr>
        <w:ind w:left="714" w:hanging="350"/>
        <w:jc w:val="both"/>
        <w:rPr>
          <w:noProof/>
        </w:rPr>
      </w:pPr>
      <w:r>
        <w:rPr>
          <w:noProof/>
        </w:rPr>
        <w:t>64.5</w:t>
      </w:r>
      <w:r w:rsidR="004601D7" w:rsidRPr="004601D7">
        <w:rPr>
          <w:noProof/>
        </w:rPr>
        <w:t>%</w:t>
      </w:r>
      <w:r w:rsidR="004601D7">
        <w:rPr>
          <w:noProof/>
        </w:rPr>
        <w:t xml:space="preserve"> </w:t>
      </w:r>
      <w:r w:rsidR="004601D7" w:rsidRPr="004601D7">
        <w:rPr>
          <w:noProof/>
        </w:rPr>
        <w:t>of the household's main income earners in Palestine worked during the lockdown period that started from March 5</w:t>
      </w:r>
      <w:r w:rsidR="004601D7" w:rsidRPr="0063611B">
        <w:rPr>
          <w:noProof/>
          <w:vertAlign w:val="superscript"/>
        </w:rPr>
        <w:t>th</w:t>
      </w:r>
      <w:r w:rsidR="004601D7" w:rsidRPr="004601D7">
        <w:rPr>
          <w:noProof/>
        </w:rPr>
        <w:t xml:space="preserve"> and up to May 25</w:t>
      </w:r>
      <w:r w:rsidR="004601D7" w:rsidRPr="0063611B">
        <w:rPr>
          <w:noProof/>
          <w:vertAlign w:val="superscript"/>
        </w:rPr>
        <w:t>th</w:t>
      </w:r>
      <w:r w:rsidR="004601D7" w:rsidRPr="004601D7">
        <w:rPr>
          <w:noProof/>
        </w:rPr>
        <w:t>, 2020.</w:t>
      </w:r>
    </w:p>
    <w:p w:rsidR="004601D7" w:rsidRDefault="00F65C07" w:rsidP="00F65C07">
      <w:pPr>
        <w:numPr>
          <w:ilvl w:val="0"/>
          <w:numId w:val="1"/>
        </w:numPr>
        <w:ind w:left="714" w:hanging="350"/>
        <w:jc w:val="both"/>
        <w:rPr>
          <w:noProof/>
        </w:rPr>
      </w:pPr>
      <w:r>
        <w:rPr>
          <w:noProof/>
        </w:rPr>
        <w:t>16.5</w:t>
      </w:r>
      <w:r w:rsidR="004601D7" w:rsidRPr="004601D7">
        <w:rPr>
          <w:noProof/>
        </w:rPr>
        <w:t>% of the household's main income earners has stopped working during the lockdown period</w:t>
      </w:r>
      <w:r>
        <w:rPr>
          <w:noProof/>
        </w:rPr>
        <w:t>.</w:t>
      </w:r>
    </w:p>
    <w:p w:rsidR="004601D7" w:rsidRDefault="00F65C07" w:rsidP="00F65C07">
      <w:pPr>
        <w:numPr>
          <w:ilvl w:val="0"/>
          <w:numId w:val="1"/>
        </w:numPr>
        <w:ind w:left="714" w:hanging="350"/>
        <w:jc w:val="both"/>
        <w:rPr>
          <w:noProof/>
        </w:rPr>
      </w:pPr>
      <w:r>
        <w:rPr>
          <w:noProof/>
        </w:rPr>
        <w:t>19.0</w:t>
      </w:r>
      <w:r w:rsidR="004601D7" w:rsidRPr="004601D7">
        <w:rPr>
          <w:noProof/>
        </w:rPr>
        <w:t xml:space="preserve">% of the household's main income earners didn’t even </w:t>
      </w:r>
      <w:r>
        <w:rPr>
          <w:noProof/>
        </w:rPr>
        <w:t>work before the lockdown period.</w:t>
      </w:r>
    </w:p>
    <w:p w:rsidR="001F23F9" w:rsidRPr="001F23F9" w:rsidRDefault="00F65C07" w:rsidP="00AE2FC8">
      <w:pPr>
        <w:numPr>
          <w:ilvl w:val="0"/>
          <w:numId w:val="1"/>
        </w:numPr>
        <w:ind w:left="714" w:hanging="350"/>
        <w:jc w:val="both"/>
        <w:rPr>
          <w:noProof/>
        </w:rPr>
      </w:pPr>
      <w:r>
        <w:rPr>
          <w:noProof/>
        </w:rPr>
        <w:t>46.9</w:t>
      </w:r>
      <w:r w:rsidR="001F23F9" w:rsidRPr="001F23F9">
        <w:rPr>
          <w:noProof/>
        </w:rPr>
        <w:t xml:space="preserve">% of workers were absent from work during the lockdown period. </w:t>
      </w:r>
    </w:p>
    <w:p w:rsidR="001F23F9" w:rsidRPr="001F23F9" w:rsidRDefault="00F65C07" w:rsidP="00F65C07">
      <w:pPr>
        <w:numPr>
          <w:ilvl w:val="0"/>
          <w:numId w:val="1"/>
        </w:numPr>
        <w:ind w:left="714" w:hanging="350"/>
        <w:jc w:val="both"/>
        <w:rPr>
          <w:noProof/>
        </w:rPr>
      </w:pPr>
      <w:r>
        <w:rPr>
          <w:noProof/>
        </w:rPr>
        <w:t>51.0</w:t>
      </w:r>
      <w:r w:rsidR="001F23F9" w:rsidRPr="001F23F9">
        <w:rPr>
          <w:noProof/>
        </w:rPr>
        <w:t>% of households</w:t>
      </w:r>
      <w:r w:rsidR="001F23F9" w:rsidRPr="007B11CE">
        <w:rPr>
          <w:vertAlign w:val="superscript"/>
        </w:rPr>
        <w:footnoteReference w:id="1"/>
      </w:r>
      <w:r w:rsidR="001F23F9" w:rsidRPr="001F23F9">
        <w:rPr>
          <w:noProof/>
        </w:rPr>
        <w:t xml:space="preserve"> in Palestine thier childern particpated in eductional activities (remote/online</w:t>
      </w:r>
      <w:r>
        <w:rPr>
          <w:noProof/>
        </w:rPr>
        <w:t xml:space="preserve"> education) during the lockdown</w:t>
      </w:r>
      <w:r w:rsidR="001F23F9" w:rsidRPr="001F23F9">
        <w:rPr>
          <w:noProof/>
        </w:rPr>
        <w:t>.</w:t>
      </w:r>
    </w:p>
    <w:p w:rsidR="001F23F9" w:rsidRDefault="00F65C07" w:rsidP="00F65C07">
      <w:pPr>
        <w:numPr>
          <w:ilvl w:val="0"/>
          <w:numId w:val="1"/>
        </w:numPr>
        <w:ind w:left="714" w:hanging="350"/>
        <w:jc w:val="both"/>
        <w:rPr>
          <w:noProof/>
        </w:rPr>
      </w:pPr>
      <w:r>
        <w:rPr>
          <w:noProof/>
        </w:rPr>
        <w:t>39.5</w:t>
      </w:r>
      <w:r w:rsidR="001F23F9" w:rsidRPr="001F23F9">
        <w:rPr>
          <w:noProof/>
        </w:rPr>
        <w:t xml:space="preserve">% of households, whose childern partcipated in any type of educational activities (remote/online education) during the lockdown period, have evaluted the experince as being bad and didn’t fulfill the desired task. However, </w:t>
      </w:r>
      <w:r>
        <w:rPr>
          <w:noProof/>
        </w:rPr>
        <w:t>39.1</w:t>
      </w:r>
      <w:r w:rsidR="001F23F9" w:rsidRPr="001F23F9">
        <w:rPr>
          <w:noProof/>
        </w:rPr>
        <w:t xml:space="preserve">% of them have evaluted it as being good and fullfilled the desired task, but there is a room for enhacing the experience, whereas </w:t>
      </w:r>
      <w:r>
        <w:rPr>
          <w:noProof/>
        </w:rPr>
        <w:t>21.4</w:t>
      </w:r>
      <w:r w:rsidR="001F23F9" w:rsidRPr="001F23F9">
        <w:rPr>
          <w:noProof/>
        </w:rPr>
        <w:t>% of them evaluted this experince as being good and fulfilled the desired task</w:t>
      </w:r>
      <w:r w:rsidR="001F23F9">
        <w:rPr>
          <w:noProof/>
        </w:rPr>
        <w:t>.</w:t>
      </w:r>
    </w:p>
    <w:p w:rsidR="001F23F9" w:rsidRDefault="00F65C07" w:rsidP="001F23F9">
      <w:pPr>
        <w:numPr>
          <w:ilvl w:val="0"/>
          <w:numId w:val="1"/>
        </w:numPr>
        <w:ind w:left="714" w:hanging="350"/>
        <w:jc w:val="both"/>
        <w:rPr>
          <w:noProof/>
        </w:rPr>
      </w:pPr>
      <w:r>
        <w:rPr>
          <w:noProof/>
        </w:rPr>
        <w:t>48.5</w:t>
      </w:r>
      <w:r w:rsidR="001F23F9" w:rsidRPr="001F23F9">
        <w:rPr>
          <w:noProof/>
        </w:rPr>
        <w:t>% of households pointed out that the unavailability of intenet in the household prevented their children from participating in the educational activities during the lockdown period</w:t>
      </w:r>
      <w:r w:rsidR="001F23F9">
        <w:rPr>
          <w:noProof/>
        </w:rPr>
        <w:t>.</w:t>
      </w:r>
    </w:p>
    <w:p w:rsidR="001F23F9" w:rsidRDefault="007B11CE" w:rsidP="00F65C07">
      <w:pPr>
        <w:numPr>
          <w:ilvl w:val="0"/>
          <w:numId w:val="1"/>
        </w:numPr>
        <w:ind w:left="714" w:hanging="350"/>
        <w:jc w:val="both"/>
        <w:rPr>
          <w:noProof/>
        </w:rPr>
      </w:pPr>
      <w:r w:rsidRPr="007B11CE">
        <w:rPr>
          <w:noProof/>
        </w:rPr>
        <w:lastRenderedPageBreak/>
        <w:t xml:space="preserve">In </w:t>
      </w:r>
      <w:r w:rsidR="00F65C07">
        <w:rPr>
          <w:noProof/>
        </w:rPr>
        <w:t>42.3</w:t>
      </w:r>
      <w:r w:rsidRPr="007B11CE">
        <w:rPr>
          <w:noProof/>
        </w:rPr>
        <w:t>% of Palestinian's households, total income declined by half or more during the lockdown period, compared to February of 2020. (</w:t>
      </w:r>
      <w:r w:rsidR="00F65C07">
        <w:rPr>
          <w:noProof/>
        </w:rPr>
        <w:t>45.5</w:t>
      </w:r>
      <w:r w:rsidRPr="007B11CE">
        <w:rPr>
          <w:noProof/>
        </w:rPr>
        <w:t xml:space="preserve">% in the West Bank and </w:t>
      </w:r>
      <w:r w:rsidR="00F65C07">
        <w:rPr>
          <w:noProof/>
        </w:rPr>
        <w:t>37.6</w:t>
      </w:r>
      <w:r w:rsidRPr="007B11CE">
        <w:rPr>
          <w:noProof/>
        </w:rPr>
        <w:t>% in Gaza Strip).</w:t>
      </w:r>
    </w:p>
    <w:p w:rsidR="00912D4D" w:rsidRPr="00912D4D" w:rsidRDefault="00912D4D" w:rsidP="00F65C07">
      <w:pPr>
        <w:numPr>
          <w:ilvl w:val="0"/>
          <w:numId w:val="1"/>
        </w:numPr>
        <w:ind w:left="714" w:hanging="350"/>
        <w:jc w:val="both"/>
        <w:rPr>
          <w:noProof/>
        </w:rPr>
      </w:pPr>
      <w:r w:rsidRPr="00912D4D">
        <w:rPr>
          <w:noProof/>
        </w:rPr>
        <w:t xml:space="preserve">During the lockdown period, there was a key role for the government and for social solidarity inside the Palestinian community in facing the social and economic challenges resulting from the pandemic, where the data showed that as a result of imposing the lockdown, </w:t>
      </w:r>
      <w:r w:rsidR="00F65C07">
        <w:rPr>
          <w:noProof/>
        </w:rPr>
        <w:t>14.9</w:t>
      </w:r>
      <w:r w:rsidRPr="00912D4D">
        <w:rPr>
          <w:noProof/>
        </w:rPr>
        <w:t xml:space="preserve">% of households who were not benefiting from any assistance and social protection programs before the lockdown received assistance in form of food vouchers and food supplies, </w:t>
      </w:r>
      <w:r w:rsidRPr="00912D4D" w:rsidDel="003C155A">
        <w:rPr>
          <w:noProof/>
        </w:rPr>
        <w:t xml:space="preserve"> </w:t>
      </w:r>
      <w:r w:rsidRPr="00912D4D">
        <w:rPr>
          <w:noProof/>
        </w:rPr>
        <w:t xml:space="preserve"> followed by government cash transfers with (</w:t>
      </w:r>
      <w:r w:rsidR="00F65C07">
        <w:rPr>
          <w:noProof/>
        </w:rPr>
        <w:t>4.5</w:t>
      </w:r>
      <w:r w:rsidRPr="00912D4D">
        <w:rPr>
          <w:noProof/>
        </w:rPr>
        <w:t>%), and family/friends transfers from inside of Palestine (Domestic) with (</w:t>
      </w:r>
      <w:r w:rsidR="00F65C07">
        <w:rPr>
          <w:noProof/>
        </w:rPr>
        <w:t>3.5</w:t>
      </w:r>
      <w:r w:rsidRPr="00912D4D">
        <w:rPr>
          <w:noProof/>
        </w:rPr>
        <w:t xml:space="preserve">%). </w:t>
      </w:r>
    </w:p>
    <w:p w:rsidR="007B11CE" w:rsidRDefault="007B11CE" w:rsidP="00F65C07">
      <w:pPr>
        <w:numPr>
          <w:ilvl w:val="0"/>
          <w:numId w:val="1"/>
        </w:numPr>
        <w:ind w:left="714" w:hanging="350"/>
        <w:jc w:val="both"/>
        <w:rPr>
          <w:noProof/>
        </w:rPr>
      </w:pPr>
      <w:r w:rsidRPr="007B11CE">
        <w:rPr>
          <w:noProof/>
        </w:rPr>
        <w:t>The cash transfer programs are the most desirable measures and procedures the government should be taken in such times of crisis (</w:t>
      </w:r>
      <w:r w:rsidR="00F65C07">
        <w:rPr>
          <w:noProof/>
        </w:rPr>
        <w:t>28.5</w:t>
      </w:r>
      <w:r w:rsidRPr="007B11CE">
        <w:rPr>
          <w:noProof/>
        </w:rPr>
        <w:t>%). While</w:t>
      </w:r>
      <w:r w:rsidRPr="007B11CE">
        <w:rPr>
          <w:rFonts w:hint="cs"/>
          <w:noProof/>
          <w:rtl/>
        </w:rPr>
        <w:t xml:space="preserve"> </w:t>
      </w:r>
      <w:r w:rsidRPr="007B11CE">
        <w:rPr>
          <w:noProof/>
        </w:rPr>
        <w:t>job opportunity and employment program came as the second priority (</w:t>
      </w:r>
      <w:r w:rsidR="00F65C07">
        <w:rPr>
          <w:noProof/>
        </w:rPr>
        <w:t>20.6</w:t>
      </w:r>
      <w:r w:rsidRPr="007B11CE">
        <w:rPr>
          <w:noProof/>
        </w:rPr>
        <w:t>%). Whereas the third priority are food supplies parcels and procurement coupons (</w:t>
      </w:r>
      <w:r w:rsidR="00F65C07">
        <w:rPr>
          <w:noProof/>
        </w:rPr>
        <w:t>18.8</w:t>
      </w:r>
      <w:r w:rsidRPr="007B11CE">
        <w:rPr>
          <w:noProof/>
        </w:rPr>
        <w:t>%). Note that there is a variation between the West Bank and Gaza Strip as shown below</w:t>
      </w:r>
      <w:r>
        <w:rPr>
          <w:noProof/>
        </w:rPr>
        <w:t>.</w:t>
      </w:r>
    </w:p>
    <w:p w:rsidR="00912D4D" w:rsidRPr="001F23F9" w:rsidRDefault="00912D4D" w:rsidP="00912D4D">
      <w:pPr>
        <w:ind w:left="714"/>
        <w:jc w:val="both"/>
        <w:rPr>
          <w:noProof/>
        </w:rPr>
      </w:pPr>
    </w:p>
    <w:p w:rsidR="004601D7" w:rsidRPr="004601D7" w:rsidRDefault="004601D7" w:rsidP="004601D7">
      <w:pPr>
        <w:jc w:val="lowKashida"/>
        <w:rPr>
          <w:b/>
          <w:bCs/>
        </w:rPr>
      </w:pPr>
      <w:r w:rsidRPr="004601D7">
        <w:rPr>
          <w:b/>
          <w:bCs/>
        </w:rPr>
        <w:t>2</w:t>
      </w:r>
      <w:r>
        <w:rPr>
          <w:b/>
          <w:bCs/>
        </w:rPr>
        <w:t>8</w:t>
      </w:r>
      <w:r w:rsidRPr="004601D7">
        <w:rPr>
          <w:b/>
          <w:bCs/>
        </w:rPr>
        <w:t>.2 The Impact of the Covid-19 Pandemic on Economic</w:t>
      </w:r>
      <w:r>
        <w:rPr>
          <w:b/>
          <w:bCs/>
        </w:rPr>
        <w:t xml:space="preserve"> </w:t>
      </w:r>
      <w:r w:rsidRPr="004601D7">
        <w:rPr>
          <w:b/>
          <w:bCs/>
        </w:rPr>
        <w:t>Enterprises:</w:t>
      </w:r>
    </w:p>
    <w:p w:rsidR="00F65C07" w:rsidRDefault="00F65C07" w:rsidP="00F65C07">
      <w:pPr>
        <w:numPr>
          <w:ilvl w:val="0"/>
          <w:numId w:val="1"/>
        </w:numPr>
        <w:ind w:left="714" w:hanging="350"/>
        <w:jc w:val="both"/>
      </w:pPr>
      <w:r>
        <w:t>71.2</w:t>
      </w:r>
      <w:r w:rsidRPr="007B11CE">
        <w:t>% of establishments (</w:t>
      </w:r>
      <w:r>
        <w:t>91.7</w:t>
      </w:r>
      <w:r w:rsidRPr="007B11CE">
        <w:t xml:space="preserve">% in the West Bank and </w:t>
      </w:r>
      <w:r>
        <w:t>27.2</w:t>
      </w:r>
      <w:r w:rsidRPr="007B11CE">
        <w:t>% in Gaza Strip) were closed for many days due to the restriction measures taken by the government enforcing the necessity of closure as a preventative measure for fighting the Coronavirus outbreak.</w:t>
      </w:r>
    </w:p>
    <w:p w:rsidR="00F65C07" w:rsidRPr="007B11CE" w:rsidRDefault="00F65C07" w:rsidP="00F65C07">
      <w:pPr>
        <w:numPr>
          <w:ilvl w:val="0"/>
          <w:numId w:val="1"/>
        </w:numPr>
        <w:ind w:left="714" w:hanging="350"/>
        <w:jc w:val="both"/>
      </w:pPr>
      <w:r w:rsidRPr="007B11CE">
        <w:t>The percentage of the closure days during the lockdown period (5/3/2020 – 31/5/2020) was (</w:t>
      </w:r>
      <w:r>
        <w:t>51.2</w:t>
      </w:r>
      <w:r w:rsidRPr="007B11CE">
        <w:t>%) concentrated in services activity, where the percentage of closure days for this activity reached (</w:t>
      </w:r>
      <w:r>
        <w:t>68.8</w:t>
      </w:r>
      <w:r w:rsidRPr="007B11CE">
        <w:t>%) and it reached (</w:t>
      </w:r>
      <w:r>
        <w:t>53.8</w:t>
      </w:r>
      <w:r w:rsidRPr="007B11CE">
        <w:t>%) for the industry activity. While the percentage of closure days for the activities of transport and trade reached (</w:t>
      </w:r>
      <w:r>
        <w:t>55.9</w:t>
      </w:r>
      <w:r w:rsidRPr="007B11CE">
        <w:t>%) and (</w:t>
      </w:r>
      <w:r>
        <w:t>41.6</w:t>
      </w:r>
      <w:r w:rsidRPr="007B11CE">
        <w:t xml:space="preserve">%), respectively. Also, the biggest percentage of closure was centered in Bethlehem Governorate for a period of more than two months. </w:t>
      </w:r>
    </w:p>
    <w:p w:rsidR="00F65C07" w:rsidRPr="00E311A5" w:rsidRDefault="00F65C07" w:rsidP="00F65C07">
      <w:pPr>
        <w:numPr>
          <w:ilvl w:val="0"/>
          <w:numId w:val="1"/>
        </w:numPr>
        <w:ind w:left="714" w:hanging="350"/>
        <w:jc w:val="both"/>
      </w:pPr>
      <w:r w:rsidRPr="00E311A5">
        <w:t>Most of the establishments reported that sales/production size has decreased during the three months of the lockdown by (</w:t>
      </w:r>
      <w:r>
        <w:t>93.1</w:t>
      </w:r>
      <w:r w:rsidRPr="00E311A5">
        <w:t xml:space="preserve">%), with a decline in the average sales/production by </w:t>
      </w:r>
      <w:r>
        <w:t>49.5</w:t>
      </w:r>
      <w:r w:rsidRPr="00E311A5">
        <w:t>% compared with normal situation, where establishments operating in construction sector recorded the highest decline of the average sales/production by (</w:t>
      </w:r>
      <w:r>
        <w:t>56.9</w:t>
      </w:r>
      <w:r w:rsidRPr="00E311A5">
        <w:t>%), followed by establishments operating in the services sector with a decline of (</w:t>
      </w:r>
      <w:r>
        <w:t>56.3</w:t>
      </w:r>
      <w:r w:rsidRPr="00E311A5">
        <w:t>%).</w:t>
      </w:r>
    </w:p>
    <w:p w:rsidR="00F65C07" w:rsidRPr="00E311A5" w:rsidRDefault="00F65C07" w:rsidP="00F65C07">
      <w:pPr>
        <w:numPr>
          <w:ilvl w:val="0"/>
          <w:numId w:val="1"/>
        </w:numPr>
        <w:ind w:left="714" w:hanging="350"/>
        <w:jc w:val="both"/>
      </w:pPr>
      <w:r>
        <w:t>88.7</w:t>
      </w:r>
      <w:r w:rsidRPr="00E311A5">
        <w:t xml:space="preserve">% of the establishments are facing a decline in the availability of cash flow, which affected the percentage of returned checks that increased to reach </w:t>
      </w:r>
      <w:r>
        <w:t>36.0</w:t>
      </w:r>
      <w:r w:rsidRPr="00E311A5">
        <w:t>% (</w:t>
      </w:r>
      <w:r>
        <w:t>48.3</w:t>
      </w:r>
      <w:r w:rsidRPr="00E311A5">
        <w:t xml:space="preserve">% in the West Bank and </w:t>
      </w:r>
      <w:r>
        <w:t>9.5</w:t>
      </w:r>
      <w:r w:rsidRPr="00E311A5">
        <w:t xml:space="preserve">% in Gaza Strip). Also, </w:t>
      </w:r>
      <w:r>
        <w:t>59.5</w:t>
      </w:r>
      <w:r w:rsidRPr="00E311A5">
        <w:t>% of the establishments reported having a difficulty in the provision of financial services that are usually available in the normal situation.</w:t>
      </w:r>
    </w:p>
    <w:p w:rsidR="00F65C07" w:rsidRDefault="00F65C07" w:rsidP="00F65C07">
      <w:pPr>
        <w:numPr>
          <w:ilvl w:val="0"/>
          <w:numId w:val="1"/>
        </w:numPr>
        <w:ind w:left="714" w:hanging="350"/>
        <w:jc w:val="both"/>
      </w:pPr>
      <w:r>
        <w:rPr>
          <w:rFonts w:hint="cs"/>
          <w:rtl/>
        </w:rPr>
        <w:t>36.5</w:t>
      </w:r>
      <w:r w:rsidRPr="00E311A5">
        <w:t xml:space="preserve">% of establishments had to have delay payments to suppliers and employees, whereas </w:t>
      </w:r>
      <w:r>
        <w:rPr>
          <w:rFonts w:hint="cs"/>
          <w:rtl/>
        </w:rPr>
        <w:t>36.5</w:t>
      </w:r>
      <w:r w:rsidRPr="00E311A5">
        <w:t>% of them had to get loans from friends, family, relatives to cover the shortage in cash flow.</w:t>
      </w:r>
    </w:p>
    <w:p w:rsidR="00F65C07" w:rsidRPr="00E311A5" w:rsidRDefault="00F65C07" w:rsidP="00F65C07">
      <w:pPr>
        <w:numPr>
          <w:ilvl w:val="0"/>
          <w:numId w:val="1"/>
        </w:numPr>
        <w:ind w:left="714" w:hanging="350"/>
        <w:jc w:val="both"/>
      </w:pPr>
      <w:r w:rsidRPr="00E311A5">
        <w:t xml:space="preserve">As a response to COVID-19 pandemic, </w:t>
      </w:r>
      <w:r>
        <w:t>13.8</w:t>
      </w:r>
      <w:r w:rsidRPr="00E311A5">
        <w:t xml:space="preserve">% of the establishments had to dismiss and let go their employees to face the financial crisis resulted from the Coronavirus pandemic. </w:t>
      </w:r>
    </w:p>
    <w:p w:rsidR="00F65C07" w:rsidRPr="00E311A5" w:rsidRDefault="00F65C07" w:rsidP="00F65C07">
      <w:pPr>
        <w:numPr>
          <w:ilvl w:val="0"/>
          <w:numId w:val="1"/>
        </w:numPr>
        <w:ind w:left="714" w:hanging="350"/>
        <w:jc w:val="both"/>
      </w:pPr>
      <w:r w:rsidRPr="00E311A5">
        <w:lastRenderedPageBreak/>
        <w:t xml:space="preserve">Whereas </w:t>
      </w:r>
      <w:r>
        <w:t>9.2</w:t>
      </w:r>
      <w:r w:rsidRPr="00E311A5">
        <w:t xml:space="preserve">% of the establishments reduced the salaries and wages of their employees, and </w:t>
      </w:r>
      <w:r>
        <w:t>10.8</w:t>
      </w:r>
      <w:r w:rsidRPr="00E311A5">
        <w:t xml:space="preserve">% of them gave their employees unpaid leave while </w:t>
      </w:r>
      <w:r>
        <w:t>9.4</w:t>
      </w:r>
      <w:r w:rsidRPr="00E311A5">
        <w:t>% of them gave their employees a paid leave.</w:t>
      </w:r>
    </w:p>
    <w:p w:rsidR="00F65C07" w:rsidRPr="00E311A5" w:rsidRDefault="00F65C07" w:rsidP="00F65C07">
      <w:pPr>
        <w:numPr>
          <w:ilvl w:val="0"/>
          <w:numId w:val="1"/>
        </w:numPr>
        <w:ind w:left="714" w:hanging="350"/>
        <w:jc w:val="both"/>
      </w:pPr>
      <w:r>
        <w:t>12.2</w:t>
      </w:r>
      <w:r w:rsidRPr="00E311A5">
        <w:t xml:space="preserve">% of the establishments started using or have increased the use of internet, online social media networks, specialized apps or digital platforms in response to COVID-19 outbreak; whereas the main use of such digital solutions was for marketing with a percentage of </w:t>
      </w:r>
      <w:r>
        <w:t>67.2</w:t>
      </w:r>
      <w:r w:rsidRPr="00E311A5">
        <w:t xml:space="preserve">%, </w:t>
      </w:r>
      <w:r>
        <w:t>54.1</w:t>
      </w:r>
      <w:r w:rsidRPr="00E311A5">
        <w:t xml:space="preserve">% for business administration and </w:t>
      </w:r>
      <w:r>
        <w:t>43.8</w:t>
      </w:r>
      <w:r w:rsidRPr="00E311A5">
        <w:t>% for sale.</w:t>
      </w:r>
    </w:p>
    <w:p w:rsidR="00F65C07" w:rsidRPr="00E311A5" w:rsidRDefault="00F65C07" w:rsidP="00F65C07">
      <w:pPr>
        <w:numPr>
          <w:ilvl w:val="0"/>
          <w:numId w:val="1"/>
        </w:numPr>
        <w:ind w:left="714" w:hanging="350"/>
        <w:jc w:val="both"/>
      </w:pPr>
      <w:r w:rsidRPr="00E311A5">
        <w:t xml:space="preserve">During the last three months (88 days) starting from March 5th until May 31st, 2020), establishments reported that the percentage of employees who are currently working remotely from home was </w:t>
      </w:r>
      <w:r>
        <w:t>5.0</w:t>
      </w:r>
      <w:r w:rsidRPr="00E311A5">
        <w:t>% of the total number of employees; mainly in the telecommunication sector (</w:t>
      </w:r>
      <w:r>
        <w:t>16.6</w:t>
      </w:r>
      <w:r w:rsidRPr="00E311A5">
        <w:t>% of the total number of employees) and construction sector (</w:t>
      </w:r>
      <w:r>
        <w:t>12.3</w:t>
      </w:r>
      <w:r w:rsidRPr="00E311A5">
        <w:t>% of the total number of employees).</w:t>
      </w:r>
    </w:p>
    <w:p w:rsidR="00F65C07" w:rsidRDefault="00F65C07" w:rsidP="00F65C07">
      <w:pPr>
        <w:numPr>
          <w:ilvl w:val="0"/>
          <w:numId w:val="1"/>
        </w:numPr>
        <w:ind w:left="714" w:hanging="350"/>
        <w:jc w:val="both"/>
      </w:pPr>
      <w:r>
        <w:t>72.1</w:t>
      </w:r>
      <w:r w:rsidRPr="00E311A5">
        <w:t xml:space="preserve">% of the establishments chose utility subsidies such as electricity, water, wastewater, internet services, and others, as the most needed policies to support their businesses over COVID-19 crisis. While </w:t>
      </w:r>
      <w:r>
        <w:t>52.5</w:t>
      </w:r>
      <w:r w:rsidRPr="00E311A5">
        <w:t xml:space="preserve">% of the establishments chose exemptions or tax deductions, followed by salary subsidies with </w:t>
      </w:r>
      <w:r>
        <w:t>52.5</w:t>
      </w:r>
      <w:r w:rsidRPr="00E311A5">
        <w:t xml:space="preserve">% and </w:t>
      </w:r>
      <w:r>
        <w:t>51.3</w:t>
      </w:r>
      <w:r w:rsidRPr="00E311A5">
        <w:t>% for rental deferral.</w:t>
      </w:r>
    </w:p>
    <w:p w:rsidR="00AE2FC8" w:rsidRPr="00E311A5" w:rsidRDefault="00AE2FC8" w:rsidP="00AE2FC8">
      <w:pPr>
        <w:ind w:left="714"/>
        <w:jc w:val="both"/>
        <w:rPr>
          <w:noProof/>
        </w:rPr>
      </w:pPr>
    </w:p>
    <w:p w:rsidR="00AE2FC8" w:rsidRPr="00AE2FC8" w:rsidRDefault="00AE2FC8" w:rsidP="00912D4D">
      <w:pPr>
        <w:jc w:val="lowKashida"/>
        <w:rPr>
          <w:b/>
          <w:bCs/>
          <w:i/>
          <w:iCs/>
          <w:sz w:val="18"/>
          <w:szCs w:val="18"/>
          <w:u w:val="single"/>
        </w:rPr>
      </w:pPr>
      <w:r w:rsidRPr="00AE2FC8">
        <w:rPr>
          <w:b/>
          <w:bCs/>
          <w:i/>
          <w:iCs/>
          <w:sz w:val="18"/>
          <w:szCs w:val="18"/>
          <w:u w:val="single"/>
        </w:rPr>
        <w:t xml:space="preserve">For more details on </w:t>
      </w:r>
      <w:r w:rsidR="00912D4D" w:rsidRPr="00AE2FC8">
        <w:rPr>
          <w:b/>
          <w:bCs/>
          <w:i/>
          <w:iCs/>
          <w:sz w:val="18"/>
          <w:szCs w:val="18"/>
          <w:u w:val="single"/>
        </w:rPr>
        <w:t>the Special</w:t>
      </w:r>
      <w:r w:rsidR="00912D4D" w:rsidRPr="00912D4D">
        <w:rPr>
          <w:b/>
          <w:bCs/>
          <w:i/>
          <w:iCs/>
          <w:sz w:val="18"/>
          <w:szCs w:val="18"/>
          <w:u w:val="single"/>
        </w:rPr>
        <w:t xml:space="preserve"> Topics</w:t>
      </w:r>
      <w:r w:rsidRPr="00AE2FC8">
        <w:rPr>
          <w:b/>
          <w:bCs/>
          <w:i/>
          <w:iCs/>
          <w:sz w:val="18"/>
          <w:szCs w:val="18"/>
          <w:u w:val="single"/>
        </w:rPr>
        <w:t>, see the table in chapter 1.27 of the Arabic section, pages</w:t>
      </w:r>
      <w:r w:rsidRPr="00AE2FC8">
        <w:rPr>
          <w:b/>
          <w:bCs/>
          <w:i/>
          <w:iCs/>
          <w:sz w:val="18"/>
          <w:szCs w:val="18"/>
          <w:u w:val="single"/>
          <w:rtl/>
        </w:rPr>
        <w:t xml:space="preserve"> </w:t>
      </w:r>
      <w:r w:rsidR="00912D4D">
        <w:rPr>
          <w:rFonts w:hint="cs"/>
          <w:b/>
          <w:bCs/>
          <w:i/>
          <w:iCs/>
          <w:sz w:val="18"/>
          <w:szCs w:val="18"/>
          <w:u w:val="single"/>
          <w:rtl/>
        </w:rPr>
        <w:t>227</w:t>
      </w:r>
      <w:r w:rsidRPr="00AE2FC8">
        <w:rPr>
          <w:b/>
          <w:bCs/>
          <w:i/>
          <w:iCs/>
          <w:sz w:val="18"/>
          <w:szCs w:val="18"/>
          <w:u w:val="single"/>
        </w:rPr>
        <w:t>-</w:t>
      </w:r>
      <w:r w:rsidRPr="00AE2FC8">
        <w:rPr>
          <w:rFonts w:hint="cs"/>
          <w:b/>
          <w:bCs/>
          <w:i/>
          <w:iCs/>
          <w:sz w:val="18"/>
          <w:szCs w:val="18"/>
          <w:u w:val="single"/>
          <w:rtl/>
        </w:rPr>
        <w:t>2</w:t>
      </w:r>
      <w:r w:rsidR="00912D4D">
        <w:rPr>
          <w:rFonts w:hint="cs"/>
          <w:b/>
          <w:bCs/>
          <w:i/>
          <w:iCs/>
          <w:sz w:val="18"/>
          <w:szCs w:val="18"/>
          <w:u w:val="single"/>
          <w:rtl/>
        </w:rPr>
        <w:t>3</w:t>
      </w:r>
      <w:r w:rsidRPr="00AE2FC8">
        <w:rPr>
          <w:rFonts w:hint="cs"/>
          <w:b/>
          <w:bCs/>
          <w:i/>
          <w:iCs/>
          <w:sz w:val="18"/>
          <w:szCs w:val="18"/>
          <w:u w:val="single"/>
          <w:rtl/>
        </w:rPr>
        <w:t>6</w:t>
      </w:r>
    </w:p>
    <w:p w:rsidR="00DE3043" w:rsidRPr="00E311A5" w:rsidRDefault="00B20D22" w:rsidP="00E311A5">
      <w:pPr>
        <w:numPr>
          <w:ilvl w:val="0"/>
          <w:numId w:val="1"/>
        </w:numPr>
        <w:jc w:val="both"/>
        <w:rPr>
          <w:noProof/>
        </w:rPr>
      </w:pPr>
      <w:r w:rsidRPr="00E311A5">
        <w:rPr>
          <w:noProof/>
        </w:rPr>
        <w:br w:type="page"/>
      </w:r>
    </w:p>
    <w:p w:rsidR="003A59C1" w:rsidRPr="004601D7" w:rsidRDefault="00387F72" w:rsidP="003A59C1">
      <w:pPr>
        <w:pStyle w:val="Title"/>
        <w:bidi w:val="0"/>
        <w:rPr>
          <w:szCs w:val="24"/>
        </w:rPr>
      </w:pPr>
      <w:r>
        <w:rPr>
          <w:szCs w:val="24"/>
        </w:rPr>
        <w:lastRenderedPageBreak/>
        <w:pict>
          <v:rect id="_x0000_s1028" style="position:absolute;left:0;text-align:left;margin-left:325pt;margin-top:-4.65pt;width:42pt;height:24pt;z-index:251662848">
            <v:textbox style="mso-next-textbox:#_x0000_s1028">
              <w:txbxContent>
                <w:p w:rsidR="008832A6" w:rsidRDefault="008832A6" w:rsidP="003C6F02">
                  <w:pPr>
                    <w:jc w:val="center"/>
                    <w:rPr>
                      <w:b/>
                      <w:bCs/>
                      <w:sz w:val="28"/>
                      <w:szCs w:val="28"/>
                    </w:rPr>
                  </w:pPr>
                  <w:r>
                    <w:rPr>
                      <w:sz w:val="28"/>
                    </w:rPr>
                    <w:t>2.1</w:t>
                  </w:r>
                </w:p>
              </w:txbxContent>
            </v:textbox>
          </v:rect>
        </w:pict>
      </w:r>
      <w:r w:rsidR="00310AD8" w:rsidRPr="004601D7">
        <w:rPr>
          <w:szCs w:val="24"/>
        </w:rPr>
        <w:t xml:space="preserve"> Palestinians in the </w:t>
      </w:r>
      <w:r w:rsidR="003A59C1" w:rsidRPr="004601D7">
        <w:rPr>
          <w:szCs w:val="24"/>
        </w:rPr>
        <w:t xml:space="preserve">Occupied Palestinian </w:t>
      </w:r>
    </w:p>
    <w:p w:rsidR="00DC67CE" w:rsidRPr="004601D7" w:rsidRDefault="003A59C1" w:rsidP="003A59C1">
      <w:pPr>
        <w:pStyle w:val="Title"/>
        <w:bidi w:val="0"/>
        <w:rPr>
          <w:szCs w:val="24"/>
        </w:rPr>
      </w:pPr>
      <w:r w:rsidRPr="004601D7">
        <w:rPr>
          <w:szCs w:val="24"/>
        </w:rPr>
        <w:t xml:space="preserve">Territory </w:t>
      </w:r>
      <w:r w:rsidR="00310AD8" w:rsidRPr="004601D7">
        <w:rPr>
          <w:szCs w:val="24"/>
        </w:rPr>
        <w:t>in 1948</w:t>
      </w:r>
    </w:p>
    <w:p w:rsidR="00C9334E" w:rsidRPr="004601D7" w:rsidRDefault="00C9334E" w:rsidP="00C9334E">
      <w:pPr>
        <w:pStyle w:val="BodyText"/>
        <w:jc w:val="lowKashida"/>
        <w:rPr>
          <w:sz w:val="24"/>
          <w:szCs w:val="24"/>
        </w:rPr>
      </w:pPr>
    </w:p>
    <w:p w:rsidR="00C9334E" w:rsidRPr="004601D7" w:rsidRDefault="00C9334E" w:rsidP="00AA587F">
      <w:pPr>
        <w:pStyle w:val="BodyText"/>
        <w:jc w:val="lowKashida"/>
      </w:pPr>
      <w:r w:rsidRPr="004601D7">
        <w:t xml:space="preserve">Palestine Catastrophe (Nakba) of 1948 resulted in the occupation of more than three quarters of Palestine. Thus, Israel was established on that part of Palestine occupied in 1948, </w:t>
      </w:r>
      <w:r w:rsidR="006B1447" w:rsidRPr="004601D7">
        <w:t xml:space="preserve">which represents </w:t>
      </w:r>
      <w:r w:rsidRPr="004601D7">
        <w:t xml:space="preserve">78% of historical Palestine. The Palestinian population who remained in their homeland came under direct and complete Israeli sovereignty.  They were considered Israeli citizens and </w:t>
      </w:r>
      <w:r w:rsidR="00AA587F" w:rsidRPr="004601D7">
        <w:t xml:space="preserve">were </w:t>
      </w:r>
      <w:r w:rsidRPr="004601D7">
        <w:t xml:space="preserve">subject to various policies and practices that sought to obliterate the Palestinian identity and culture. </w:t>
      </w:r>
    </w:p>
    <w:p w:rsidR="00C9334E" w:rsidRPr="004601D7" w:rsidRDefault="00C9334E" w:rsidP="00C9334E">
      <w:pPr>
        <w:jc w:val="lowKashida"/>
        <w:rPr>
          <w:sz w:val="10"/>
          <w:szCs w:val="10"/>
        </w:rPr>
      </w:pPr>
    </w:p>
    <w:p w:rsidR="00C9334E" w:rsidRPr="004601D7" w:rsidRDefault="00C9334E" w:rsidP="00C9334E">
      <w:pPr>
        <w:jc w:val="lowKashida"/>
      </w:pPr>
      <w:r w:rsidRPr="004601D7">
        <w:t>Statistically speaking, all data on Palestinians living in this part of historical Palestine occupied in 1948 were considered part of the Israeli statistical system. Thus, all Israeli statistical issues and publications include data on the Palestinian population.</w:t>
      </w:r>
    </w:p>
    <w:p w:rsidR="00C9334E" w:rsidRPr="004601D7" w:rsidRDefault="00C9334E" w:rsidP="00C9334E">
      <w:pPr>
        <w:jc w:val="lowKashida"/>
        <w:rPr>
          <w:sz w:val="10"/>
          <w:szCs w:val="10"/>
        </w:rPr>
      </w:pPr>
      <w:r w:rsidRPr="004601D7">
        <w:rPr>
          <w:sz w:val="10"/>
          <w:szCs w:val="10"/>
        </w:rPr>
        <w:t xml:space="preserve"> </w:t>
      </w:r>
    </w:p>
    <w:p w:rsidR="00C9334E" w:rsidRPr="004601D7" w:rsidRDefault="00C9334E" w:rsidP="003936AC">
      <w:pPr>
        <w:jc w:val="lowKashida"/>
      </w:pPr>
      <w:r w:rsidRPr="004601D7">
        <w:t xml:space="preserve">The Palestinian Central Bureau of Statistics strove hard to compile, tabulate and disseminate statistical data on the Palestinians living in Israel despite the difficulties, including the scarcity of separate data available on those Palestinians, in addition to the complications associated with compiling statistical data about them. </w:t>
      </w:r>
    </w:p>
    <w:p w:rsidR="00C9334E" w:rsidRPr="004601D7" w:rsidRDefault="00C9334E" w:rsidP="00C9334E">
      <w:pPr>
        <w:jc w:val="lowKashida"/>
        <w:rPr>
          <w:sz w:val="10"/>
          <w:szCs w:val="10"/>
        </w:rPr>
      </w:pPr>
    </w:p>
    <w:p w:rsidR="00C9334E" w:rsidRPr="004601D7" w:rsidRDefault="00C9334E" w:rsidP="00C9334E">
      <w:pPr>
        <w:jc w:val="lowKashida"/>
      </w:pPr>
      <w:r w:rsidRPr="004601D7">
        <w:t>Nevertheless, data disseminated in this chapter constitutes a general statistical diagnosis of the Palestinian reality in Israel.  This chapter presents statistics on the Palestinians in Israel including demographic, educational and labor force characteristics.  It is worth noting that such statistics are derived from the reality of living conditions in Israel. Thus, any possible comparisons for any of the statistical indicators should be made with those pertinent to the population in Israel and not with the Palestinians in other places. Some changes occurred in the data of this chapter which refers to revision and modification as in its sources.</w:t>
      </w:r>
    </w:p>
    <w:p w:rsidR="00112829" w:rsidRPr="004601D7" w:rsidRDefault="00112829" w:rsidP="00C9334E">
      <w:pPr>
        <w:jc w:val="lowKashida"/>
      </w:pPr>
    </w:p>
    <w:p w:rsidR="00112829" w:rsidRPr="004601D7" w:rsidRDefault="00112829" w:rsidP="00112829">
      <w:pPr>
        <w:jc w:val="lowKashida"/>
      </w:pPr>
      <w:r w:rsidRPr="004601D7">
        <w:t xml:space="preserve">The data of this chapter does not include Palestinians and Arabs residing within the borders of the territories occupied in 1967 and subsequently annexed to Israel, which are determined mainly in that part of Jerusalem Governorate, which was annexed by the Israeli occupation by force following its occupation of the West Bank in 1967 and the Syrian Golan </w:t>
      </w:r>
      <w:r w:rsidR="000F485D" w:rsidRPr="004601D7">
        <w:t>Heights</w:t>
      </w:r>
      <w:r w:rsidR="000F485D" w:rsidRPr="004601D7">
        <w:rPr>
          <w:rFonts w:hint="cs"/>
          <w:rtl/>
        </w:rPr>
        <w:t>.</w:t>
      </w:r>
    </w:p>
    <w:p w:rsidR="005779E5" w:rsidRPr="004601D7" w:rsidRDefault="005779E5" w:rsidP="00C9334E">
      <w:pPr>
        <w:jc w:val="both"/>
        <w:rPr>
          <w:b/>
          <w:bCs/>
        </w:rPr>
      </w:pPr>
      <w:bookmarkStart w:id="2" w:name="OLE_LINK3"/>
    </w:p>
    <w:p w:rsidR="00C9334E" w:rsidRPr="004601D7" w:rsidRDefault="00C9334E" w:rsidP="00C9334E">
      <w:pPr>
        <w:jc w:val="both"/>
        <w:rPr>
          <w:b/>
          <w:bCs/>
        </w:rPr>
      </w:pPr>
      <w:r w:rsidRPr="004601D7">
        <w:rPr>
          <w:b/>
          <w:bCs/>
        </w:rPr>
        <w:t xml:space="preserve">Population: </w:t>
      </w:r>
    </w:p>
    <w:bookmarkEnd w:id="2"/>
    <w:p w:rsidR="00731202" w:rsidRPr="004601D7" w:rsidRDefault="00A024A9" w:rsidP="007B00E8">
      <w:pPr>
        <w:numPr>
          <w:ilvl w:val="0"/>
          <w:numId w:val="1"/>
        </w:numPr>
        <w:ind w:left="714" w:hanging="350"/>
        <w:jc w:val="both"/>
        <w:rPr>
          <w:noProof/>
        </w:rPr>
      </w:pPr>
      <w:r w:rsidRPr="004601D7">
        <w:rPr>
          <w:noProof/>
        </w:rPr>
        <w:t xml:space="preserve">The total population of </w:t>
      </w:r>
      <w:r w:rsidR="008A511C" w:rsidRPr="004601D7">
        <w:rPr>
          <w:noProof/>
        </w:rPr>
        <w:t xml:space="preserve">those </w:t>
      </w:r>
      <w:r w:rsidRPr="004601D7">
        <w:rPr>
          <w:noProof/>
        </w:rPr>
        <w:t xml:space="preserve">areas at the end of </w:t>
      </w:r>
      <w:r w:rsidR="007B00E8" w:rsidRPr="004601D7">
        <w:rPr>
          <w:noProof/>
        </w:rPr>
        <w:t>2019</w:t>
      </w:r>
      <w:r w:rsidRPr="004601D7">
        <w:rPr>
          <w:noProof/>
        </w:rPr>
        <w:t xml:space="preserve"> was 1.</w:t>
      </w:r>
      <w:r w:rsidR="007B00E8" w:rsidRPr="004601D7">
        <w:rPr>
          <w:noProof/>
        </w:rPr>
        <w:t>5</w:t>
      </w:r>
      <w:r w:rsidRPr="004601D7">
        <w:rPr>
          <w:noProof/>
        </w:rPr>
        <w:t xml:space="preserve"> million (excluding the residents of occupied East Jerusalem and the Golan Heights).</w:t>
      </w:r>
    </w:p>
    <w:p w:rsidR="00731202" w:rsidRPr="004601D7" w:rsidRDefault="00731202" w:rsidP="007B00E8">
      <w:pPr>
        <w:numPr>
          <w:ilvl w:val="0"/>
          <w:numId w:val="1"/>
        </w:numPr>
        <w:ind w:left="714" w:hanging="350"/>
        <w:jc w:val="both"/>
        <w:rPr>
          <w:noProof/>
        </w:rPr>
      </w:pPr>
      <w:r w:rsidRPr="004601D7">
        <w:rPr>
          <w:noProof/>
        </w:rPr>
        <w:t xml:space="preserve">The total fertility rate for Palestinian women during </w:t>
      </w:r>
      <w:r w:rsidR="00426EE0" w:rsidRPr="004601D7">
        <w:rPr>
          <w:noProof/>
        </w:rPr>
        <w:t>201</w:t>
      </w:r>
      <w:r w:rsidR="007B00E8" w:rsidRPr="004601D7">
        <w:rPr>
          <w:noProof/>
        </w:rPr>
        <w:t>9</w:t>
      </w:r>
      <w:r w:rsidRPr="004601D7">
        <w:rPr>
          <w:noProof/>
        </w:rPr>
        <w:t xml:space="preserve"> was </w:t>
      </w:r>
      <w:r w:rsidR="007B00E8" w:rsidRPr="004601D7">
        <w:rPr>
          <w:noProof/>
        </w:rPr>
        <w:t>2.98</w:t>
      </w:r>
      <w:r w:rsidRPr="004601D7">
        <w:rPr>
          <w:noProof/>
        </w:rPr>
        <w:t xml:space="preserve"> births.</w:t>
      </w:r>
    </w:p>
    <w:p w:rsidR="000414D0" w:rsidRPr="004601D7" w:rsidRDefault="000414D0" w:rsidP="007B00E8">
      <w:pPr>
        <w:numPr>
          <w:ilvl w:val="0"/>
          <w:numId w:val="1"/>
        </w:numPr>
        <w:ind w:left="714" w:hanging="350"/>
        <w:jc w:val="both"/>
        <w:rPr>
          <w:noProof/>
        </w:rPr>
      </w:pPr>
      <w:r w:rsidRPr="004601D7">
        <w:rPr>
          <w:noProof/>
        </w:rPr>
        <w:t xml:space="preserve">The average size of </w:t>
      </w:r>
      <w:r w:rsidR="003936AC" w:rsidRPr="004601D7">
        <w:rPr>
          <w:noProof/>
        </w:rPr>
        <w:t xml:space="preserve">the </w:t>
      </w:r>
      <w:r w:rsidRPr="004601D7">
        <w:rPr>
          <w:noProof/>
        </w:rPr>
        <w:t>Palestinian household was 4.</w:t>
      </w:r>
      <w:r w:rsidR="007B00E8" w:rsidRPr="004601D7">
        <w:rPr>
          <w:noProof/>
        </w:rPr>
        <w:t>4</w:t>
      </w:r>
      <w:r w:rsidRPr="004601D7">
        <w:rPr>
          <w:noProof/>
        </w:rPr>
        <w:t xml:space="preserve"> persons in </w:t>
      </w:r>
      <w:r w:rsidR="007B00E8" w:rsidRPr="004601D7">
        <w:rPr>
          <w:noProof/>
        </w:rPr>
        <w:t>2019</w:t>
      </w:r>
      <w:r w:rsidRPr="004601D7">
        <w:rPr>
          <w:noProof/>
        </w:rPr>
        <w:t>.</w:t>
      </w:r>
    </w:p>
    <w:p w:rsidR="007B00E8" w:rsidRPr="004601D7" w:rsidRDefault="007B00E8" w:rsidP="00731202">
      <w:pPr>
        <w:jc w:val="both"/>
        <w:rPr>
          <w:b/>
          <w:bCs/>
        </w:rPr>
      </w:pPr>
    </w:p>
    <w:p w:rsidR="00A024A9" w:rsidRPr="004601D7" w:rsidRDefault="00731202" w:rsidP="00731202">
      <w:pPr>
        <w:jc w:val="both"/>
        <w:rPr>
          <w:b/>
          <w:bCs/>
        </w:rPr>
      </w:pPr>
      <w:r w:rsidRPr="004601D7">
        <w:rPr>
          <w:b/>
          <w:bCs/>
        </w:rPr>
        <w:t xml:space="preserve">Housing and Housing Conditions: </w:t>
      </w:r>
      <w:r w:rsidR="00A024A9" w:rsidRPr="004601D7">
        <w:rPr>
          <w:b/>
          <w:bCs/>
        </w:rPr>
        <w:t xml:space="preserve"> </w:t>
      </w:r>
    </w:p>
    <w:p w:rsidR="00D6199C" w:rsidRPr="004601D7" w:rsidRDefault="009132EC" w:rsidP="007B00E8">
      <w:pPr>
        <w:numPr>
          <w:ilvl w:val="0"/>
          <w:numId w:val="1"/>
        </w:numPr>
        <w:ind w:left="714" w:hanging="350"/>
        <w:jc w:val="both"/>
        <w:rPr>
          <w:noProof/>
        </w:rPr>
      </w:pPr>
      <w:r w:rsidRPr="004601D7">
        <w:rPr>
          <w:noProof/>
        </w:rPr>
        <w:t>90.3</w:t>
      </w:r>
      <w:r w:rsidR="00D6199C" w:rsidRPr="004601D7">
        <w:rPr>
          <w:noProof/>
        </w:rPr>
        <w:t xml:space="preserve">% of Palestinian households </w:t>
      </w:r>
      <w:r w:rsidR="008A511C" w:rsidRPr="004601D7">
        <w:rPr>
          <w:noProof/>
        </w:rPr>
        <w:t xml:space="preserve">in </w:t>
      </w:r>
      <w:r w:rsidR="007B00E8" w:rsidRPr="004601D7">
        <w:rPr>
          <w:noProof/>
        </w:rPr>
        <w:t>2018</w:t>
      </w:r>
      <w:r w:rsidR="00D6199C" w:rsidRPr="004601D7">
        <w:rPr>
          <w:noProof/>
        </w:rPr>
        <w:t xml:space="preserve"> owned the housing unit they  lived in.</w:t>
      </w:r>
    </w:p>
    <w:p w:rsidR="006B30B7" w:rsidRPr="004601D7" w:rsidRDefault="009132EC" w:rsidP="007B00E8">
      <w:pPr>
        <w:numPr>
          <w:ilvl w:val="0"/>
          <w:numId w:val="1"/>
        </w:numPr>
        <w:ind w:left="714" w:hanging="350"/>
        <w:jc w:val="both"/>
        <w:rPr>
          <w:noProof/>
        </w:rPr>
      </w:pPr>
      <w:r w:rsidRPr="004601D7">
        <w:rPr>
          <w:noProof/>
        </w:rPr>
        <w:t>5</w:t>
      </w:r>
      <w:r w:rsidR="00426EE0" w:rsidRPr="004601D7">
        <w:rPr>
          <w:noProof/>
        </w:rPr>
        <w:t>0.3</w:t>
      </w:r>
      <w:r w:rsidR="00D6199C" w:rsidRPr="004601D7">
        <w:rPr>
          <w:noProof/>
        </w:rPr>
        <w:t xml:space="preserve">% of Palestinian households lives in a house in </w:t>
      </w:r>
      <w:r w:rsidR="00426EE0" w:rsidRPr="004601D7">
        <w:rPr>
          <w:noProof/>
        </w:rPr>
        <w:t>2018</w:t>
      </w:r>
      <w:r w:rsidR="00D6199C" w:rsidRPr="004601D7">
        <w:rPr>
          <w:noProof/>
        </w:rPr>
        <w:t>.</w:t>
      </w:r>
    </w:p>
    <w:p w:rsidR="007B00E8" w:rsidRPr="004601D7" w:rsidRDefault="007B00E8" w:rsidP="007B00E8">
      <w:pPr>
        <w:ind w:left="714"/>
        <w:jc w:val="both"/>
        <w:rPr>
          <w:noProof/>
        </w:rPr>
      </w:pPr>
    </w:p>
    <w:p w:rsidR="006B30B7" w:rsidRPr="004601D7" w:rsidRDefault="006B30B7" w:rsidP="006B30B7">
      <w:pPr>
        <w:jc w:val="both"/>
        <w:rPr>
          <w:b/>
          <w:bCs/>
        </w:rPr>
      </w:pPr>
      <w:r w:rsidRPr="004601D7">
        <w:rPr>
          <w:b/>
          <w:bCs/>
        </w:rPr>
        <w:t>Living Standards</w:t>
      </w:r>
      <w:r w:rsidR="00071EE2" w:rsidRPr="004601D7">
        <w:rPr>
          <w:b/>
          <w:bCs/>
        </w:rPr>
        <w:t>:</w:t>
      </w:r>
    </w:p>
    <w:p w:rsidR="006B30B7" w:rsidRPr="004601D7" w:rsidRDefault="006B30B7" w:rsidP="0017458F">
      <w:pPr>
        <w:numPr>
          <w:ilvl w:val="0"/>
          <w:numId w:val="1"/>
        </w:numPr>
        <w:ind w:left="714" w:hanging="350"/>
        <w:jc w:val="both"/>
        <w:rPr>
          <w:noProof/>
        </w:rPr>
      </w:pPr>
      <w:r w:rsidRPr="004601D7">
        <w:rPr>
          <w:rFonts w:hint="cs"/>
          <w:noProof/>
          <w:rtl/>
        </w:rPr>
        <w:t>56.8</w:t>
      </w:r>
      <w:r w:rsidR="0017458F" w:rsidRPr="004601D7">
        <w:rPr>
          <w:noProof/>
        </w:rPr>
        <w:t xml:space="preserve">% </w:t>
      </w:r>
      <w:r w:rsidRPr="004601D7">
        <w:rPr>
          <w:noProof/>
        </w:rPr>
        <w:t>of the Palestinian households in the occupied Palestinian territories in 1948 depend on wages and salaries as their source of income during the year 2017.</w:t>
      </w:r>
    </w:p>
    <w:p w:rsidR="006B30B7" w:rsidRPr="004601D7" w:rsidRDefault="006B30B7" w:rsidP="0017458F">
      <w:pPr>
        <w:numPr>
          <w:ilvl w:val="0"/>
          <w:numId w:val="1"/>
        </w:numPr>
        <w:ind w:left="714" w:hanging="350"/>
        <w:jc w:val="both"/>
        <w:rPr>
          <w:b/>
          <w:bCs/>
        </w:rPr>
      </w:pPr>
      <w:r w:rsidRPr="004601D7">
        <w:rPr>
          <w:rFonts w:hint="cs"/>
          <w:noProof/>
          <w:rtl/>
        </w:rPr>
        <w:t xml:space="preserve">14.9 </w:t>
      </w:r>
      <w:r w:rsidR="0017458F" w:rsidRPr="004601D7">
        <w:rPr>
          <w:noProof/>
        </w:rPr>
        <w:t xml:space="preserve">% </w:t>
      </w:r>
      <w:r w:rsidRPr="004601D7">
        <w:rPr>
          <w:noProof/>
        </w:rPr>
        <w:t>of the Palestinian households in the occupied Palestinian territories in 1948 consider economic projects for the family as a main source of incom</w:t>
      </w:r>
      <w:r w:rsidR="00257689" w:rsidRPr="004601D7">
        <w:rPr>
          <w:noProof/>
        </w:rPr>
        <w:t>e</w:t>
      </w:r>
      <w:r w:rsidRPr="004601D7">
        <w:rPr>
          <w:noProof/>
        </w:rPr>
        <w:t>.</w:t>
      </w:r>
    </w:p>
    <w:p w:rsidR="00850EF9" w:rsidRPr="004601D7" w:rsidRDefault="00850EF9" w:rsidP="009A2628">
      <w:pPr>
        <w:jc w:val="both"/>
        <w:rPr>
          <w:b/>
          <w:bCs/>
        </w:rPr>
      </w:pPr>
    </w:p>
    <w:p w:rsidR="00C9334E" w:rsidRPr="004601D7" w:rsidRDefault="00C9334E" w:rsidP="009A2628">
      <w:pPr>
        <w:jc w:val="both"/>
        <w:rPr>
          <w:b/>
          <w:bCs/>
        </w:rPr>
      </w:pPr>
      <w:r w:rsidRPr="004601D7">
        <w:rPr>
          <w:b/>
          <w:bCs/>
        </w:rPr>
        <w:lastRenderedPageBreak/>
        <w:t xml:space="preserve">Education: </w:t>
      </w:r>
    </w:p>
    <w:p w:rsidR="00F70417" w:rsidRPr="004601D7" w:rsidRDefault="00F70417" w:rsidP="007B00E8">
      <w:pPr>
        <w:numPr>
          <w:ilvl w:val="0"/>
          <w:numId w:val="1"/>
        </w:numPr>
        <w:ind w:left="714" w:hanging="350"/>
        <w:jc w:val="both"/>
        <w:rPr>
          <w:noProof/>
        </w:rPr>
      </w:pPr>
      <w:r w:rsidRPr="004601D7">
        <w:rPr>
          <w:noProof/>
        </w:rPr>
        <w:t xml:space="preserve">There were </w:t>
      </w:r>
      <w:r w:rsidR="009A2628" w:rsidRPr="004601D7">
        <w:rPr>
          <w:noProof/>
        </w:rPr>
        <w:t>6</w:t>
      </w:r>
      <w:r w:rsidR="00426EE0" w:rsidRPr="004601D7">
        <w:rPr>
          <w:noProof/>
        </w:rPr>
        <w:t>5</w:t>
      </w:r>
      <w:r w:rsidR="007B00E8" w:rsidRPr="004601D7">
        <w:rPr>
          <w:noProof/>
        </w:rPr>
        <w:t>7</w:t>
      </w:r>
      <w:r w:rsidRPr="004601D7">
        <w:rPr>
          <w:noProof/>
        </w:rPr>
        <w:t xml:space="preserve"> schools, including </w:t>
      </w:r>
      <w:r w:rsidR="009A2628" w:rsidRPr="004601D7">
        <w:rPr>
          <w:noProof/>
        </w:rPr>
        <w:t>5</w:t>
      </w:r>
      <w:r w:rsidR="00426EE0" w:rsidRPr="004601D7">
        <w:rPr>
          <w:noProof/>
        </w:rPr>
        <w:t>7</w:t>
      </w:r>
      <w:r w:rsidR="007B00E8" w:rsidRPr="004601D7">
        <w:rPr>
          <w:noProof/>
        </w:rPr>
        <w:t>5</w:t>
      </w:r>
      <w:r w:rsidRPr="004601D7">
        <w:rPr>
          <w:noProof/>
        </w:rPr>
        <w:t xml:space="preserve"> primary schools</w:t>
      </w:r>
      <w:r w:rsidR="003936AC" w:rsidRPr="004601D7">
        <w:rPr>
          <w:noProof/>
        </w:rPr>
        <w:t xml:space="preserve"> and </w:t>
      </w:r>
      <w:r w:rsidR="00806800" w:rsidRPr="004601D7">
        <w:rPr>
          <w:noProof/>
        </w:rPr>
        <w:t>8</w:t>
      </w:r>
      <w:r w:rsidR="007B00E8" w:rsidRPr="004601D7">
        <w:rPr>
          <w:noProof/>
        </w:rPr>
        <w:t>2</w:t>
      </w:r>
      <w:r w:rsidR="00806800" w:rsidRPr="004601D7">
        <w:rPr>
          <w:noProof/>
        </w:rPr>
        <w:t xml:space="preserve"> </w:t>
      </w:r>
      <w:r w:rsidRPr="004601D7">
        <w:rPr>
          <w:noProof/>
        </w:rPr>
        <w:t>schools for children with special needs</w:t>
      </w:r>
      <w:r w:rsidR="007B00E8" w:rsidRPr="004601D7">
        <w:rPr>
          <w:noProof/>
        </w:rPr>
        <w:t xml:space="preserve"> in 2019/2020</w:t>
      </w:r>
      <w:r w:rsidRPr="004601D7">
        <w:rPr>
          <w:noProof/>
        </w:rPr>
        <w:t xml:space="preserve">, </w:t>
      </w:r>
      <w:r w:rsidR="00806800" w:rsidRPr="004601D7">
        <w:rPr>
          <w:noProof/>
        </w:rPr>
        <w:t>21</w:t>
      </w:r>
      <w:r w:rsidR="00426EE0" w:rsidRPr="004601D7">
        <w:rPr>
          <w:noProof/>
        </w:rPr>
        <w:t>9</w:t>
      </w:r>
      <w:r w:rsidRPr="004601D7">
        <w:rPr>
          <w:noProof/>
        </w:rPr>
        <w:t xml:space="preserve"> intermediate schools and </w:t>
      </w:r>
      <w:r w:rsidR="00F540A9" w:rsidRPr="004601D7">
        <w:rPr>
          <w:noProof/>
        </w:rPr>
        <w:t>3</w:t>
      </w:r>
      <w:r w:rsidR="00426EE0" w:rsidRPr="004601D7">
        <w:rPr>
          <w:noProof/>
        </w:rPr>
        <w:t>85</w:t>
      </w:r>
      <w:r w:rsidRPr="004601D7">
        <w:rPr>
          <w:noProof/>
        </w:rPr>
        <w:t xml:space="preserve"> secondary schools</w:t>
      </w:r>
      <w:r w:rsidR="009A2628" w:rsidRPr="004601D7">
        <w:rPr>
          <w:noProof/>
        </w:rPr>
        <w:t xml:space="preserve"> in </w:t>
      </w:r>
      <w:r w:rsidR="00426EE0" w:rsidRPr="004601D7">
        <w:rPr>
          <w:noProof/>
        </w:rPr>
        <w:t>2018</w:t>
      </w:r>
      <w:r w:rsidR="009A2628" w:rsidRPr="004601D7">
        <w:rPr>
          <w:noProof/>
        </w:rPr>
        <w:t>/</w:t>
      </w:r>
      <w:r w:rsidR="00426EE0" w:rsidRPr="004601D7">
        <w:rPr>
          <w:noProof/>
        </w:rPr>
        <w:t>2019</w:t>
      </w:r>
      <w:r w:rsidRPr="004601D7">
        <w:rPr>
          <w:noProof/>
        </w:rPr>
        <w:t>.</w:t>
      </w:r>
    </w:p>
    <w:p w:rsidR="00C54A6C" w:rsidRPr="004601D7" w:rsidRDefault="00C54A6C" w:rsidP="00C54A6C">
      <w:pPr>
        <w:ind w:left="714"/>
        <w:jc w:val="both"/>
        <w:rPr>
          <w:noProof/>
        </w:rPr>
      </w:pPr>
    </w:p>
    <w:p w:rsidR="000D061C" w:rsidRPr="004601D7" w:rsidRDefault="000D061C" w:rsidP="000D061C">
      <w:pPr>
        <w:jc w:val="both"/>
        <w:rPr>
          <w:b/>
          <w:bCs/>
        </w:rPr>
      </w:pPr>
      <w:r w:rsidRPr="004601D7">
        <w:rPr>
          <w:b/>
          <w:bCs/>
        </w:rPr>
        <w:t>Labo</w:t>
      </w:r>
      <w:r w:rsidR="00313648" w:rsidRPr="004601D7">
        <w:rPr>
          <w:b/>
          <w:bCs/>
        </w:rPr>
        <w:t>u</w:t>
      </w:r>
      <w:r w:rsidRPr="004601D7">
        <w:rPr>
          <w:b/>
          <w:bCs/>
        </w:rPr>
        <w:t>r</w:t>
      </w:r>
      <w:r w:rsidR="00071EE2" w:rsidRPr="004601D7">
        <w:rPr>
          <w:b/>
          <w:bCs/>
        </w:rPr>
        <w:t xml:space="preserve"> Force</w:t>
      </w:r>
      <w:r w:rsidRPr="004601D7">
        <w:rPr>
          <w:b/>
          <w:bCs/>
        </w:rPr>
        <w:t>:</w:t>
      </w:r>
    </w:p>
    <w:p w:rsidR="000D061C" w:rsidRPr="004601D7" w:rsidRDefault="000D061C" w:rsidP="009A1CDF">
      <w:pPr>
        <w:numPr>
          <w:ilvl w:val="0"/>
          <w:numId w:val="1"/>
        </w:numPr>
        <w:ind w:left="714" w:hanging="350"/>
        <w:jc w:val="both"/>
        <w:rPr>
          <w:noProof/>
        </w:rPr>
      </w:pPr>
      <w:r w:rsidRPr="004601D7">
        <w:rPr>
          <w:noProof/>
        </w:rPr>
        <w:t>The labo</w:t>
      </w:r>
      <w:r w:rsidR="00313648" w:rsidRPr="004601D7">
        <w:rPr>
          <w:noProof/>
        </w:rPr>
        <w:t>u</w:t>
      </w:r>
      <w:r w:rsidRPr="004601D7">
        <w:rPr>
          <w:noProof/>
        </w:rPr>
        <w:t xml:space="preserve">r force participation rate among Palestinians (15 years and above) was </w:t>
      </w:r>
      <w:r w:rsidR="009A1CDF" w:rsidRPr="004601D7">
        <w:rPr>
          <w:noProof/>
        </w:rPr>
        <w:t>49</w:t>
      </w:r>
      <w:r w:rsidRPr="004601D7">
        <w:rPr>
          <w:noProof/>
        </w:rPr>
        <w:t>.</w:t>
      </w:r>
      <w:r w:rsidR="009A1CDF" w:rsidRPr="004601D7">
        <w:rPr>
          <w:noProof/>
        </w:rPr>
        <w:t>9</w:t>
      </w:r>
      <w:r w:rsidRPr="004601D7">
        <w:rPr>
          <w:noProof/>
        </w:rPr>
        <w:t>%: 6</w:t>
      </w:r>
      <w:r w:rsidR="009A1CDF" w:rsidRPr="004601D7">
        <w:rPr>
          <w:noProof/>
        </w:rPr>
        <w:t>6</w:t>
      </w:r>
      <w:r w:rsidRPr="004601D7">
        <w:rPr>
          <w:noProof/>
        </w:rPr>
        <w:t>.</w:t>
      </w:r>
      <w:r w:rsidR="009A1CDF" w:rsidRPr="004601D7">
        <w:rPr>
          <w:noProof/>
        </w:rPr>
        <w:t>6</w:t>
      </w:r>
      <w:r w:rsidRPr="004601D7">
        <w:rPr>
          <w:noProof/>
        </w:rPr>
        <w:t xml:space="preserve">% for males, and </w:t>
      </w:r>
      <w:r w:rsidR="009A1CDF" w:rsidRPr="004601D7">
        <w:rPr>
          <w:noProof/>
        </w:rPr>
        <w:t>32</w:t>
      </w:r>
      <w:r w:rsidRPr="004601D7">
        <w:rPr>
          <w:noProof/>
        </w:rPr>
        <w:t>.</w:t>
      </w:r>
      <w:r w:rsidR="009A1CDF" w:rsidRPr="004601D7">
        <w:rPr>
          <w:noProof/>
        </w:rPr>
        <w:t>9</w:t>
      </w:r>
      <w:r w:rsidRPr="004601D7">
        <w:rPr>
          <w:noProof/>
        </w:rPr>
        <w:t xml:space="preserve">% for females in </w:t>
      </w:r>
      <w:r w:rsidR="009A1CDF" w:rsidRPr="004601D7">
        <w:rPr>
          <w:noProof/>
        </w:rPr>
        <w:t>2017</w:t>
      </w:r>
      <w:r w:rsidRPr="004601D7">
        <w:rPr>
          <w:noProof/>
        </w:rPr>
        <w:t>.</w:t>
      </w:r>
    </w:p>
    <w:p w:rsidR="000D061C" w:rsidRPr="004601D7" w:rsidRDefault="000D061C" w:rsidP="009A1CDF">
      <w:pPr>
        <w:numPr>
          <w:ilvl w:val="0"/>
          <w:numId w:val="1"/>
        </w:numPr>
        <w:ind w:left="714" w:hanging="350"/>
        <w:jc w:val="both"/>
        <w:rPr>
          <w:noProof/>
        </w:rPr>
      </w:pPr>
      <w:r w:rsidRPr="004601D7">
        <w:rPr>
          <w:noProof/>
        </w:rPr>
        <w:t xml:space="preserve">The unemployment rate was </w:t>
      </w:r>
      <w:r w:rsidR="009A1CDF" w:rsidRPr="004601D7">
        <w:rPr>
          <w:noProof/>
        </w:rPr>
        <w:t>3.7</w:t>
      </w:r>
      <w:r w:rsidRPr="004601D7">
        <w:rPr>
          <w:noProof/>
        </w:rPr>
        <w:t xml:space="preserve">%: </w:t>
      </w:r>
      <w:r w:rsidR="009A1CDF" w:rsidRPr="004601D7">
        <w:rPr>
          <w:noProof/>
        </w:rPr>
        <w:t>6.6</w:t>
      </w:r>
      <w:r w:rsidRPr="004601D7">
        <w:rPr>
          <w:noProof/>
        </w:rPr>
        <w:t xml:space="preserve">% for females and </w:t>
      </w:r>
      <w:r w:rsidR="009A1CDF" w:rsidRPr="004601D7">
        <w:rPr>
          <w:noProof/>
        </w:rPr>
        <w:t>2.2</w:t>
      </w:r>
      <w:r w:rsidRPr="004601D7">
        <w:rPr>
          <w:noProof/>
        </w:rPr>
        <w:t xml:space="preserve">% for males in </w:t>
      </w:r>
      <w:r w:rsidR="009A1CDF" w:rsidRPr="004601D7">
        <w:rPr>
          <w:noProof/>
        </w:rPr>
        <w:t>2017</w:t>
      </w:r>
      <w:r w:rsidRPr="004601D7">
        <w:rPr>
          <w:noProof/>
        </w:rPr>
        <w:t>.</w:t>
      </w:r>
    </w:p>
    <w:p w:rsidR="00F70417" w:rsidRPr="004601D7" w:rsidRDefault="00F70417" w:rsidP="00F70417">
      <w:pPr>
        <w:ind w:left="-14"/>
        <w:jc w:val="both"/>
        <w:rPr>
          <w:noProof/>
          <w:sz w:val="10"/>
          <w:szCs w:val="10"/>
        </w:rPr>
      </w:pPr>
    </w:p>
    <w:p w:rsidR="00742C2C" w:rsidRPr="004601D7" w:rsidRDefault="00742C2C" w:rsidP="00F70417">
      <w:pPr>
        <w:ind w:left="-14"/>
        <w:jc w:val="both"/>
        <w:rPr>
          <w:noProof/>
          <w:sz w:val="10"/>
          <w:szCs w:val="10"/>
        </w:rPr>
      </w:pPr>
    </w:p>
    <w:p w:rsidR="00742C2C" w:rsidRPr="004601D7" w:rsidRDefault="00742C2C" w:rsidP="00915488">
      <w:pPr>
        <w:pStyle w:val="ListParagraph"/>
        <w:bidi w:val="0"/>
        <w:ind w:left="360"/>
        <w:jc w:val="lowKashida"/>
        <w:rPr>
          <w:rFonts w:cs="Times New Roman"/>
          <w:b/>
          <w:bCs/>
          <w:i/>
          <w:iCs/>
          <w:sz w:val="18"/>
          <w:szCs w:val="18"/>
          <w:u w:val="single"/>
        </w:rPr>
      </w:pPr>
      <w:r w:rsidRPr="004601D7">
        <w:rPr>
          <w:rFonts w:cs="Times New Roman"/>
          <w:b/>
          <w:bCs/>
          <w:i/>
          <w:iCs/>
          <w:sz w:val="18"/>
          <w:szCs w:val="18"/>
          <w:u w:val="single"/>
        </w:rPr>
        <w:t xml:space="preserve">For more details on Palestinians in the Occupied Palestinian Territory in 1948, see the tables in chapter 2 of the Arabic section, pages </w:t>
      </w:r>
      <w:r w:rsidR="00426EE0" w:rsidRPr="004601D7">
        <w:rPr>
          <w:rFonts w:cs="Times New Roman"/>
          <w:b/>
          <w:bCs/>
          <w:i/>
          <w:iCs/>
          <w:sz w:val="18"/>
          <w:szCs w:val="18"/>
          <w:u w:val="single"/>
        </w:rPr>
        <w:t>2</w:t>
      </w:r>
      <w:r w:rsidR="00915488">
        <w:rPr>
          <w:rFonts w:cs="Times New Roman"/>
          <w:b/>
          <w:bCs/>
          <w:i/>
          <w:iCs/>
          <w:sz w:val="18"/>
          <w:szCs w:val="18"/>
          <w:u w:val="single"/>
        </w:rPr>
        <w:t>37</w:t>
      </w:r>
      <w:r w:rsidRPr="004601D7">
        <w:rPr>
          <w:rFonts w:cs="Times New Roman"/>
          <w:b/>
          <w:bCs/>
          <w:i/>
          <w:iCs/>
          <w:sz w:val="18"/>
          <w:szCs w:val="18"/>
          <w:u w:val="single"/>
        </w:rPr>
        <w:t>-</w:t>
      </w:r>
      <w:r w:rsidR="00426EE0" w:rsidRPr="004601D7">
        <w:rPr>
          <w:rFonts w:cs="Times New Roman" w:hint="cs"/>
          <w:b/>
          <w:bCs/>
          <w:i/>
          <w:iCs/>
          <w:sz w:val="18"/>
          <w:szCs w:val="18"/>
          <w:u w:val="single"/>
          <w:rtl/>
        </w:rPr>
        <w:t>2</w:t>
      </w:r>
      <w:r w:rsidR="00915488">
        <w:rPr>
          <w:rFonts w:cs="Times New Roman"/>
          <w:b/>
          <w:bCs/>
          <w:i/>
          <w:iCs/>
          <w:sz w:val="18"/>
          <w:szCs w:val="18"/>
          <w:u w:val="single"/>
        </w:rPr>
        <w:t>60</w:t>
      </w:r>
      <w:r w:rsidRPr="004601D7">
        <w:rPr>
          <w:rFonts w:cs="Times New Roman"/>
          <w:b/>
          <w:bCs/>
          <w:i/>
          <w:iCs/>
          <w:sz w:val="18"/>
          <w:szCs w:val="18"/>
          <w:u w:val="single"/>
        </w:rPr>
        <w:t>.</w:t>
      </w:r>
    </w:p>
    <w:p w:rsidR="003640B2" w:rsidRPr="004601D7" w:rsidRDefault="003640B2" w:rsidP="007B3C9D">
      <w:pPr>
        <w:numPr>
          <w:ilvl w:val="0"/>
          <w:numId w:val="1"/>
        </w:numPr>
        <w:ind w:left="714" w:hanging="350"/>
        <w:jc w:val="both"/>
        <w:rPr>
          <w:noProof/>
        </w:rPr>
      </w:pPr>
      <w:r w:rsidRPr="004601D7">
        <w:rPr>
          <w:noProof/>
        </w:rPr>
        <w:br w:type="page"/>
      </w:r>
    </w:p>
    <w:p w:rsidR="00B5698C" w:rsidRPr="004601D7" w:rsidRDefault="00C65AB2" w:rsidP="007253BE">
      <w:pPr>
        <w:pStyle w:val="Title"/>
        <w:bidi w:val="0"/>
      </w:pPr>
      <w:r w:rsidRPr="004601D7">
        <w:lastRenderedPageBreak/>
        <w:t>Palestinians in the Diaspora</w:t>
      </w:r>
    </w:p>
    <w:p w:rsidR="00B5698C" w:rsidRPr="004601D7" w:rsidRDefault="00387F72" w:rsidP="00B5698C">
      <w:pPr>
        <w:jc w:val="both"/>
        <w:rPr>
          <w:sz w:val="10"/>
          <w:szCs w:val="10"/>
        </w:rPr>
      </w:pPr>
      <w:r>
        <w:rPr>
          <w:noProof/>
        </w:rPr>
        <w:pict>
          <v:rect id="_x0000_s1027" style="position:absolute;left:0;text-align:left;margin-left:303.35pt;margin-top:-22.8pt;width:42pt;height:24pt;z-index:251661824">
            <v:textbox style="mso-next-textbox:#_x0000_s1027">
              <w:txbxContent>
                <w:p w:rsidR="008832A6" w:rsidRDefault="008832A6" w:rsidP="003C6F02">
                  <w:pPr>
                    <w:jc w:val="center"/>
                    <w:rPr>
                      <w:b/>
                      <w:bCs/>
                      <w:sz w:val="28"/>
                      <w:szCs w:val="28"/>
                    </w:rPr>
                  </w:pPr>
                  <w:r>
                    <w:rPr>
                      <w:b/>
                      <w:bCs/>
                      <w:sz w:val="28"/>
                      <w:szCs w:val="28"/>
                    </w:rPr>
                    <w:t>3.1</w:t>
                  </w:r>
                </w:p>
              </w:txbxContent>
            </v:textbox>
          </v:rect>
        </w:pict>
      </w:r>
    </w:p>
    <w:p w:rsidR="00DC67CE" w:rsidRPr="004601D7" w:rsidRDefault="00DC67CE" w:rsidP="00DC67CE">
      <w:pPr>
        <w:ind w:left="-14"/>
        <w:jc w:val="both"/>
        <w:rPr>
          <w:noProof/>
        </w:rPr>
      </w:pPr>
      <w:bookmarkStart w:id="3" w:name="OLE_LINK1"/>
    </w:p>
    <w:p w:rsidR="00C9334E" w:rsidRPr="004601D7" w:rsidRDefault="00C9334E" w:rsidP="00C82375">
      <w:pPr>
        <w:jc w:val="lowKashida"/>
      </w:pPr>
      <w:r w:rsidRPr="004601D7">
        <w:t xml:space="preserve">The Nakba (Catastrophe) constituted a black period in </w:t>
      </w:r>
      <w:r w:rsidR="00204A61" w:rsidRPr="004601D7">
        <w:t xml:space="preserve">the </w:t>
      </w:r>
      <w:r w:rsidRPr="004601D7">
        <w:t>Palestinian history,</w:t>
      </w:r>
      <w:r w:rsidRPr="004601D7">
        <w:rPr>
          <w:rFonts w:hint="cs"/>
          <w:rtl/>
          <w:lang w:val="en-GB"/>
        </w:rPr>
        <w:t xml:space="preserve"> </w:t>
      </w:r>
      <w:r w:rsidRPr="004601D7">
        <w:t>when the Palestinian people were confronted with indescribable acts of oppression, dispossession and suffering.</w:t>
      </w:r>
    </w:p>
    <w:p w:rsidR="00C9334E" w:rsidRPr="004601D7" w:rsidRDefault="00C9334E" w:rsidP="00C9334E">
      <w:pPr>
        <w:jc w:val="lowKashida"/>
      </w:pPr>
    </w:p>
    <w:p w:rsidR="00C9334E" w:rsidRPr="004601D7" w:rsidRDefault="00C9334E" w:rsidP="001C6114">
      <w:pPr>
        <w:jc w:val="lowKashida"/>
      </w:pPr>
      <w:r w:rsidRPr="004601D7">
        <w:t xml:space="preserve">Palestinians who sought refuge in countries outside Palestine encountered all types of abuse and agonies.  On one hand, they were uprooted from their homeland and deprived of their property and homes.  On the other hand, they sought refuge in countries where they had no power or will. At the time of their dispossession, the Palestinians felt that their expulsion and refugee status would be temporary. They believed that their situation would not last more than several weeks or months, after which they would return in victory and with their honor restored. Thus, they paid little attention to their living circumstances in their host countries. </w:t>
      </w:r>
      <w:r w:rsidR="00C82FEC" w:rsidRPr="004601D7">
        <w:t xml:space="preserve">Their hearts remained with Palestine, waiting for the signal for return. Year after another they realized that the Nakba </w:t>
      </w:r>
      <w:r w:rsidRPr="004601D7">
        <w:t>would last longer than expected, and that Palestinians would endure more pain and suffering. Popular movements and organizations emerged to defend the rights of the Palestinians wherever they were located. The situation remained unchanged with no unified political and powerful entity representing all the Palestinians of the Diaspora until the foundation of the Palestine Liberation Organization (PLO). The emergence of the Palestinian revolt in 1965 caught the attention of most countries and gained their recognition. The PLO then became the sole political representative of all Palestinians everywhere, in spite of the fact that part of the Palestinian territory was subject to Arab administration (Jordan in the West Bank and Egypt in Gaza Strip).</w:t>
      </w:r>
    </w:p>
    <w:p w:rsidR="00C9334E" w:rsidRPr="004601D7" w:rsidRDefault="00C9334E" w:rsidP="00C9334E">
      <w:pPr>
        <w:jc w:val="lowKashida"/>
      </w:pPr>
    </w:p>
    <w:p w:rsidR="00C9334E" w:rsidRPr="004601D7" w:rsidRDefault="00C9334E" w:rsidP="00C01D28">
      <w:pPr>
        <w:jc w:val="lowKashida"/>
      </w:pPr>
      <w:r w:rsidRPr="004601D7">
        <w:t xml:space="preserve">PCBS has been constantly working on collecting, tabulating and disseminating statistical data on the Palestinians both in Palestine and in the Diaspora.  This task always </w:t>
      </w:r>
      <w:r w:rsidR="00541629" w:rsidRPr="004601D7">
        <w:t xml:space="preserve">faces </w:t>
      </w:r>
      <w:r w:rsidRPr="004601D7">
        <w:t>several constraints such as the shortage of separate</w:t>
      </w:r>
      <w:r w:rsidR="00C01D28" w:rsidRPr="004601D7">
        <w:t xml:space="preserve"> and </w:t>
      </w:r>
      <w:r w:rsidR="00CC4460" w:rsidRPr="004601D7">
        <w:t>independent</w:t>
      </w:r>
      <w:r w:rsidRPr="004601D7">
        <w:t xml:space="preserve"> data on Palestinians in the Diaspora, as well as </w:t>
      </w:r>
      <w:r w:rsidR="007F4A1F" w:rsidRPr="004601D7">
        <w:t>the</w:t>
      </w:r>
      <w:r w:rsidRPr="004601D7">
        <w:t xml:space="preserve"> </w:t>
      </w:r>
      <w:r w:rsidR="007F4A1F" w:rsidRPr="004601D7">
        <w:t>outdate</w:t>
      </w:r>
      <w:r w:rsidR="00C01D28" w:rsidRPr="004601D7">
        <w:t>d</w:t>
      </w:r>
      <w:r w:rsidRPr="004601D7">
        <w:t xml:space="preserve"> </w:t>
      </w:r>
      <w:r w:rsidR="007F4A1F" w:rsidRPr="004601D7">
        <w:t xml:space="preserve">available </w:t>
      </w:r>
      <w:r w:rsidRPr="004601D7">
        <w:t xml:space="preserve">data; </w:t>
      </w:r>
      <w:r w:rsidR="00C01D28" w:rsidRPr="004601D7">
        <w:t xml:space="preserve">which is </w:t>
      </w:r>
      <w:r w:rsidR="00C82FEC" w:rsidRPr="004601D7">
        <w:t>mainly excerpted from</w:t>
      </w:r>
      <w:r w:rsidRPr="004601D7">
        <w:t xml:space="preserve"> UNRWA records.  We hope to overcome </w:t>
      </w:r>
      <w:r w:rsidR="00C01D28" w:rsidRPr="004601D7">
        <w:t xml:space="preserve">those </w:t>
      </w:r>
      <w:r w:rsidRPr="004601D7">
        <w:t xml:space="preserve">constraints in the near future.  </w:t>
      </w:r>
    </w:p>
    <w:p w:rsidR="00C9334E" w:rsidRPr="004601D7" w:rsidRDefault="00C9334E" w:rsidP="00C9334E">
      <w:pPr>
        <w:jc w:val="lowKashida"/>
      </w:pPr>
    </w:p>
    <w:p w:rsidR="00C9334E" w:rsidRPr="004601D7" w:rsidRDefault="00C9334E" w:rsidP="00C9334E">
      <w:pPr>
        <w:jc w:val="lowKashida"/>
      </w:pPr>
      <w:r w:rsidRPr="004601D7">
        <w:t xml:space="preserve">The difficulty in creating a statistical database about Palestinians in the Diaspora lies in their dispersion both among a number of countries and within different areas of such countries. The Palestinians did not consider their communities as isolated ghettos; instead, they participated in the life of the countries they resided in, but retained their distinctiveness and identity at the same time.  The civil and administrative laws of the host countries made this task more difficult, by preventing integration with the population that resides there. </w:t>
      </w:r>
    </w:p>
    <w:p w:rsidR="00C9334E" w:rsidRPr="004601D7" w:rsidRDefault="00C9334E" w:rsidP="00C9334E">
      <w:pPr>
        <w:jc w:val="lowKashida"/>
      </w:pPr>
    </w:p>
    <w:p w:rsidR="00C9334E" w:rsidRPr="004601D7" w:rsidRDefault="00973D78" w:rsidP="00973D78">
      <w:pPr>
        <w:jc w:val="lowKashida"/>
      </w:pPr>
      <w:r w:rsidRPr="004601D7">
        <w:t xml:space="preserve">Those </w:t>
      </w:r>
      <w:r w:rsidR="00C9334E" w:rsidRPr="004601D7">
        <w:t>hindrances and other subjective complications made it difficult to provide consistent and comprehensive statistical data on all Palestinians in the Diaspora.</w:t>
      </w:r>
    </w:p>
    <w:p w:rsidR="00C9334E" w:rsidRPr="004601D7" w:rsidRDefault="00C9334E" w:rsidP="00C9334E">
      <w:pPr>
        <w:jc w:val="lowKashida"/>
      </w:pPr>
      <w:r w:rsidRPr="004601D7">
        <w:t>This chapter puts forth a set of data and statistical indicators dealing with population, employment, education, health and living and housing conditions for the Palestinians living in the Diaspora, especially in Jordan, Syria and Lebanon.</w:t>
      </w:r>
    </w:p>
    <w:p w:rsidR="00C9334E" w:rsidRPr="004601D7" w:rsidRDefault="00C9334E" w:rsidP="00C9334E">
      <w:pPr>
        <w:jc w:val="lowKashida"/>
      </w:pPr>
    </w:p>
    <w:p w:rsidR="00850EF9" w:rsidRPr="004601D7" w:rsidRDefault="00850EF9">
      <w:pPr>
        <w:overflowPunct/>
        <w:autoSpaceDE/>
        <w:autoSpaceDN/>
        <w:adjustRightInd/>
        <w:textAlignment w:val="auto"/>
        <w:rPr>
          <w:b/>
          <w:bCs/>
        </w:rPr>
      </w:pPr>
      <w:r w:rsidRPr="004601D7">
        <w:rPr>
          <w:b/>
          <w:bCs/>
        </w:rPr>
        <w:br w:type="page"/>
      </w:r>
    </w:p>
    <w:p w:rsidR="00C9334E" w:rsidRPr="004601D7" w:rsidRDefault="00C9334E" w:rsidP="00C9334E">
      <w:pPr>
        <w:jc w:val="both"/>
        <w:rPr>
          <w:b/>
          <w:bCs/>
        </w:rPr>
      </w:pPr>
      <w:r w:rsidRPr="004601D7">
        <w:rPr>
          <w:b/>
          <w:bCs/>
        </w:rPr>
        <w:lastRenderedPageBreak/>
        <w:t xml:space="preserve">Population: </w:t>
      </w:r>
    </w:p>
    <w:bookmarkEnd w:id="3"/>
    <w:p w:rsidR="00BB6D0F" w:rsidRPr="004601D7" w:rsidRDefault="00BB6D0F" w:rsidP="004E7170">
      <w:pPr>
        <w:jc w:val="lowKashida"/>
        <w:rPr>
          <w:sz w:val="10"/>
          <w:szCs w:val="10"/>
        </w:rPr>
      </w:pPr>
    </w:p>
    <w:p w:rsidR="00B53B3A" w:rsidRPr="004601D7" w:rsidRDefault="00B53B3A" w:rsidP="000F485D">
      <w:pPr>
        <w:numPr>
          <w:ilvl w:val="0"/>
          <w:numId w:val="1"/>
        </w:numPr>
        <w:ind w:left="714" w:hanging="350"/>
        <w:jc w:val="both"/>
        <w:rPr>
          <w:noProof/>
        </w:rPr>
      </w:pPr>
      <w:r w:rsidRPr="004601D7">
        <w:rPr>
          <w:noProof/>
        </w:rPr>
        <w:t xml:space="preserve">There were </w:t>
      </w:r>
      <w:r w:rsidR="001F4A25" w:rsidRPr="004601D7">
        <w:rPr>
          <w:noProof/>
        </w:rPr>
        <w:t>6.</w:t>
      </w:r>
      <w:r w:rsidR="002D738B" w:rsidRPr="004601D7">
        <w:rPr>
          <w:noProof/>
        </w:rPr>
        <w:t>3</w:t>
      </w:r>
      <w:r w:rsidRPr="004601D7">
        <w:rPr>
          <w:noProof/>
        </w:rPr>
        <w:t xml:space="preserve"> million Palestinian refugees registered in Jordan, Syria, Lebanon and Palestine </w:t>
      </w:r>
      <w:r w:rsidR="000F485D" w:rsidRPr="004601D7">
        <w:rPr>
          <w:noProof/>
        </w:rPr>
        <w:t>at the end of 2019</w:t>
      </w:r>
      <w:r w:rsidRPr="004601D7">
        <w:rPr>
          <w:noProof/>
        </w:rPr>
        <w:t>.</w:t>
      </w:r>
    </w:p>
    <w:p w:rsidR="00C9334E" w:rsidRPr="004601D7" w:rsidRDefault="00C9334E" w:rsidP="00C9334E">
      <w:pPr>
        <w:jc w:val="both"/>
        <w:rPr>
          <w:b/>
          <w:bCs/>
        </w:rPr>
      </w:pPr>
    </w:p>
    <w:p w:rsidR="00C9334E" w:rsidRPr="004601D7" w:rsidRDefault="00C9334E" w:rsidP="00C9334E">
      <w:pPr>
        <w:jc w:val="both"/>
        <w:rPr>
          <w:b/>
          <w:bCs/>
        </w:rPr>
      </w:pPr>
      <w:r w:rsidRPr="004601D7">
        <w:rPr>
          <w:b/>
          <w:bCs/>
        </w:rPr>
        <w:t>Health:</w:t>
      </w:r>
    </w:p>
    <w:p w:rsidR="00E26649" w:rsidRPr="004601D7" w:rsidRDefault="00B5698C" w:rsidP="000F485D">
      <w:pPr>
        <w:numPr>
          <w:ilvl w:val="0"/>
          <w:numId w:val="1"/>
        </w:numPr>
        <w:ind w:left="714" w:hanging="350"/>
        <w:jc w:val="both"/>
        <w:rPr>
          <w:noProof/>
        </w:rPr>
      </w:pPr>
      <w:r w:rsidRPr="004601D7">
        <w:rPr>
          <w:noProof/>
        </w:rPr>
        <w:t>The</w:t>
      </w:r>
      <w:r w:rsidR="00FD62A0" w:rsidRPr="004601D7">
        <w:rPr>
          <w:noProof/>
        </w:rPr>
        <w:t xml:space="preserve">re were </w:t>
      </w:r>
      <w:r w:rsidR="00C377A5" w:rsidRPr="004601D7">
        <w:rPr>
          <w:noProof/>
        </w:rPr>
        <w:t>27</w:t>
      </w:r>
      <w:r w:rsidRPr="004601D7">
        <w:rPr>
          <w:noProof/>
        </w:rPr>
        <w:t xml:space="preserve"> </w:t>
      </w:r>
      <w:r w:rsidR="00553F6F" w:rsidRPr="004601D7">
        <w:rPr>
          <w:noProof/>
        </w:rPr>
        <w:t>p</w:t>
      </w:r>
      <w:r w:rsidRPr="004601D7">
        <w:rPr>
          <w:noProof/>
        </w:rPr>
        <w:t xml:space="preserve">rimary </w:t>
      </w:r>
      <w:r w:rsidR="00553F6F" w:rsidRPr="004601D7">
        <w:rPr>
          <w:noProof/>
        </w:rPr>
        <w:t>h</w:t>
      </w:r>
      <w:r w:rsidRPr="004601D7">
        <w:rPr>
          <w:noProof/>
        </w:rPr>
        <w:t>ealth</w:t>
      </w:r>
      <w:r w:rsidR="00553F6F" w:rsidRPr="004601D7">
        <w:rPr>
          <w:noProof/>
        </w:rPr>
        <w:t>c</w:t>
      </w:r>
      <w:r w:rsidRPr="004601D7">
        <w:rPr>
          <w:noProof/>
        </w:rPr>
        <w:t xml:space="preserve">are </w:t>
      </w:r>
      <w:r w:rsidR="00553F6F" w:rsidRPr="004601D7">
        <w:rPr>
          <w:noProof/>
        </w:rPr>
        <w:t xml:space="preserve">centers </w:t>
      </w:r>
      <w:r w:rsidRPr="004601D7">
        <w:rPr>
          <w:noProof/>
        </w:rPr>
        <w:t>in</w:t>
      </w:r>
      <w:r w:rsidR="00C377A5" w:rsidRPr="004601D7">
        <w:rPr>
          <w:noProof/>
        </w:rPr>
        <w:t xml:space="preserve"> Lebanon,</w:t>
      </w:r>
      <w:r w:rsidRPr="004601D7">
        <w:rPr>
          <w:noProof/>
        </w:rPr>
        <w:t xml:space="preserve"> </w:t>
      </w:r>
      <w:r w:rsidR="00FD62A0" w:rsidRPr="004601D7">
        <w:rPr>
          <w:noProof/>
        </w:rPr>
        <w:t>2</w:t>
      </w:r>
      <w:r w:rsidR="002D738B" w:rsidRPr="004601D7">
        <w:rPr>
          <w:noProof/>
        </w:rPr>
        <w:t>4</w:t>
      </w:r>
      <w:r w:rsidRPr="004601D7">
        <w:rPr>
          <w:noProof/>
        </w:rPr>
        <w:t xml:space="preserve"> </w:t>
      </w:r>
      <w:r w:rsidR="00FD62A0" w:rsidRPr="004601D7">
        <w:rPr>
          <w:noProof/>
        </w:rPr>
        <w:t xml:space="preserve">in </w:t>
      </w:r>
      <w:r w:rsidRPr="004601D7">
        <w:rPr>
          <w:noProof/>
        </w:rPr>
        <w:t xml:space="preserve">Syria, </w:t>
      </w:r>
      <w:r w:rsidR="00553F6F" w:rsidRPr="004601D7">
        <w:rPr>
          <w:noProof/>
        </w:rPr>
        <w:t>and</w:t>
      </w:r>
      <w:r w:rsidR="00FD62A0" w:rsidRPr="004601D7">
        <w:rPr>
          <w:noProof/>
        </w:rPr>
        <w:t xml:space="preserve"> </w:t>
      </w:r>
      <w:r w:rsidR="00C377A5" w:rsidRPr="004601D7">
        <w:rPr>
          <w:noProof/>
        </w:rPr>
        <w:t>2</w:t>
      </w:r>
      <w:r w:rsidR="001B4B14" w:rsidRPr="004601D7">
        <w:rPr>
          <w:noProof/>
        </w:rPr>
        <w:t>5</w:t>
      </w:r>
      <w:r w:rsidR="00FD62A0" w:rsidRPr="004601D7">
        <w:rPr>
          <w:noProof/>
        </w:rPr>
        <w:t xml:space="preserve"> in</w:t>
      </w:r>
      <w:r w:rsidR="00553F6F" w:rsidRPr="004601D7">
        <w:rPr>
          <w:noProof/>
        </w:rPr>
        <w:t xml:space="preserve"> </w:t>
      </w:r>
      <w:r w:rsidR="00A54B80" w:rsidRPr="004601D7">
        <w:rPr>
          <w:noProof/>
        </w:rPr>
        <w:t>Jordan</w:t>
      </w:r>
      <w:r w:rsidR="00A15515" w:rsidRPr="004601D7">
        <w:rPr>
          <w:noProof/>
        </w:rPr>
        <w:t xml:space="preserve"> and 65 in palestine</w:t>
      </w:r>
      <w:r w:rsidRPr="004601D7">
        <w:rPr>
          <w:noProof/>
        </w:rPr>
        <w:t xml:space="preserve"> </w:t>
      </w:r>
      <w:r w:rsidR="000F485D" w:rsidRPr="004601D7">
        <w:rPr>
          <w:noProof/>
        </w:rPr>
        <w:t>at the end of 2019</w:t>
      </w:r>
      <w:r w:rsidRPr="004601D7">
        <w:rPr>
          <w:noProof/>
        </w:rPr>
        <w:t>.</w:t>
      </w:r>
    </w:p>
    <w:p w:rsidR="00C9334E" w:rsidRPr="004601D7" w:rsidRDefault="00C9334E" w:rsidP="00C9334E">
      <w:pPr>
        <w:jc w:val="both"/>
        <w:rPr>
          <w:b/>
          <w:bCs/>
        </w:rPr>
      </w:pPr>
    </w:p>
    <w:p w:rsidR="00B5698C" w:rsidRPr="004601D7" w:rsidRDefault="00C9334E" w:rsidP="00C9334E">
      <w:pPr>
        <w:jc w:val="both"/>
        <w:rPr>
          <w:b/>
          <w:bCs/>
        </w:rPr>
      </w:pPr>
      <w:r w:rsidRPr="004601D7">
        <w:rPr>
          <w:b/>
          <w:bCs/>
        </w:rPr>
        <w:t>Education:</w:t>
      </w:r>
      <w:r w:rsidR="00B5698C" w:rsidRPr="004601D7">
        <w:rPr>
          <w:b/>
          <w:bCs/>
        </w:rPr>
        <w:t xml:space="preserve"> </w:t>
      </w:r>
    </w:p>
    <w:p w:rsidR="00E26649" w:rsidRPr="004601D7" w:rsidRDefault="00E26649" w:rsidP="002D738B">
      <w:pPr>
        <w:numPr>
          <w:ilvl w:val="0"/>
          <w:numId w:val="1"/>
        </w:numPr>
        <w:ind w:left="714" w:hanging="350"/>
        <w:jc w:val="both"/>
        <w:rPr>
          <w:noProof/>
        </w:rPr>
      </w:pPr>
      <w:r w:rsidRPr="004601D7">
        <w:rPr>
          <w:noProof/>
        </w:rPr>
        <w:t xml:space="preserve">The total number of UNRWA schools was </w:t>
      </w:r>
      <w:r w:rsidR="00E22B42" w:rsidRPr="004601D7">
        <w:rPr>
          <w:noProof/>
        </w:rPr>
        <w:t>1</w:t>
      </w:r>
      <w:r w:rsidR="00426EE0" w:rsidRPr="004601D7">
        <w:rPr>
          <w:rFonts w:hint="cs"/>
          <w:noProof/>
          <w:rtl/>
        </w:rPr>
        <w:t>69</w:t>
      </w:r>
      <w:r w:rsidRPr="004601D7">
        <w:rPr>
          <w:noProof/>
        </w:rPr>
        <w:t xml:space="preserve"> schools in Jordan, </w:t>
      </w:r>
      <w:r w:rsidR="00E22B42" w:rsidRPr="004601D7">
        <w:rPr>
          <w:noProof/>
        </w:rPr>
        <w:t>1</w:t>
      </w:r>
      <w:r w:rsidR="00426EE0" w:rsidRPr="004601D7">
        <w:rPr>
          <w:rFonts w:hint="cs"/>
          <w:noProof/>
          <w:rtl/>
        </w:rPr>
        <w:t>03</w:t>
      </w:r>
      <w:r w:rsidRPr="004601D7">
        <w:rPr>
          <w:noProof/>
        </w:rPr>
        <w:t xml:space="preserve"> schools in Syria and </w:t>
      </w:r>
      <w:r w:rsidR="000B6F29" w:rsidRPr="004601D7">
        <w:rPr>
          <w:noProof/>
        </w:rPr>
        <w:t>6</w:t>
      </w:r>
      <w:r w:rsidR="002D738B" w:rsidRPr="004601D7">
        <w:rPr>
          <w:noProof/>
        </w:rPr>
        <w:t>5</w:t>
      </w:r>
      <w:r w:rsidRPr="004601D7">
        <w:rPr>
          <w:noProof/>
        </w:rPr>
        <w:t xml:space="preserve"> schools in Lebanon in </w:t>
      </w:r>
      <w:r w:rsidR="001F4A25" w:rsidRPr="004601D7">
        <w:rPr>
          <w:noProof/>
        </w:rPr>
        <w:t>2017</w:t>
      </w:r>
      <w:r w:rsidRPr="004601D7">
        <w:rPr>
          <w:noProof/>
        </w:rPr>
        <w:t>/</w:t>
      </w:r>
      <w:r w:rsidR="001F4A25" w:rsidRPr="004601D7">
        <w:rPr>
          <w:noProof/>
        </w:rPr>
        <w:t>2018</w:t>
      </w:r>
      <w:r w:rsidRPr="004601D7">
        <w:rPr>
          <w:noProof/>
        </w:rPr>
        <w:t>.</w:t>
      </w:r>
    </w:p>
    <w:p w:rsidR="00BB6D0F" w:rsidRPr="004601D7" w:rsidRDefault="00BB6D0F" w:rsidP="004E7170">
      <w:pPr>
        <w:jc w:val="lowKashida"/>
        <w:rPr>
          <w:sz w:val="10"/>
          <w:szCs w:val="10"/>
        </w:rPr>
      </w:pPr>
    </w:p>
    <w:p w:rsidR="00B5698C" w:rsidRPr="004601D7" w:rsidRDefault="00B5698C" w:rsidP="002D738B">
      <w:pPr>
        <w:numPr>
          <w:ilvl w:val="0"/>
          <w:numId w:val="1"/>
        </w:numPr>
        <w:ind w:left="714" w:hanging="350"/>
        <w:jc w:val="both"/>
        <w:rPr>
          <w:noProof/>
        </w:rPr>
      </w:pPr>
      <w:r w:rsidRPr="004601D7">
        <w:rPr>
          <w:noProof/>
        </w:rPr>
        <w:t xml:space="preserve">The total number of refugee students in UNRWA </w:t>
      </w:r>
      <w:r w:rsidR="00553F6F" w:rsidRPr="004601D7">
        <w:rPr>
          <w:noProof/>
        </w:rPr>
        <w:t>s</w:t>
      </w:r>
      <w:r w:rsidRPr="004601D7">
        <w:rPr>
          <w:noProof/>
        </w:rPr>
        <w:t xml:space="preserve">chools was </w:t>
      </w:r>
      <w:r w:rsidR="002D738B" w:rsidRPr="004601D7">
        <w:rPr>
          <w:noProof/>
        </w:rPr>
        <w:t>118,296</w:t>
      </w:r>
      <w:r w:rsidRPr="004601D7">
        <w:rPr>
          <w:noProof/>
        </w:rPr>
        <w:t xml:space="preserve"> in Jordan, </w:t>
      </w:r>
      <w:r w:rsidR="001B4B14" w:rsidRPr="004601D7">
        <w:rPr>
          <w:noProof/>
        </w:rPr>
        <w:t>36</w:t>
      </w:r>
      <w:r w:rsidR="00B21F3A" w:rsidRPr="004601D7">
        <w:rPr>
          <w:noProof/>
        </w:rPr>
        <w:t>,</w:t>
      </w:r>
      <w:r w:rsidR="002D738B" w:rsidRPr="004601D7">
        <w:rPr>
          <w:noProof/>
        </w:rPr>
        <w:t>817</w:t>
      </w:r>
      <w:r w:rsidRPr="004601D7">
        <w:rPr>
          <w:noProof/>
        </w:rPr>
        <w:t xml:space="preserve"> in Lebanon and </w:t>
      </w:r>
      <w:r w:rsidR="002D738B" w:rsidRPr="004601D7">
        <w:rPr>
          <w:noProof/>
        </w:rPr>
        <w:t>50</w:t>
      </w:r>
      <w:r w:rsidR="00B21F3A" w:rsidRPr="004601D7">
        <w:rPr>
          <w:noProof/>
        </w:rPr>
        <w:t>,</w:t>
      </w:r>
      <w:r w:rsidR="002D738B" w:rsidRPr="004601D7">
        <w:rPr>
          <w:noProof/>
        </w:rPr>
        <w:t>143</w:t>
      </w:r>
      <w:r w:rsidRPr="004601D7">
        <w:rPr>
          <w:noProof/>
        </w:rPr>
        <w:t xml:space="preserve"> in Syria in </w:t>
      </w:r>
      <w:r w:rsidR="001F4A25" w:rsidRPr="004601D7">
        <w:rPr>
          <w:noProof/>
        </w:rPr>
        <w:t>2017</w:t>
      </w:r>
      <w:r w:rsidR="007C3781" w:rsidRPr="004601D7">
        <w:rPr>
          <w:noProof/>
        </w:rPr>
        <w:t>/</w:t>
      </w:r>
      <w:r w:rsidR="001F4A25" w:rsidRPr="004601D7">
        <w:rPr>
          <w:noProof/>
        </w:rPr>
        <w:t>2018</w:t>
      </w:r>
      <w:r w:rsidRPr="004601D7">
        <w:rPr>
          <w:noProof/>
        </w:rPr>
        <w:t xml:space="preserve">. </w:t>
      </w:r>
    </w:p>
    <w:p w:rsidR="00BB6D0F" w:rsidRPr="004601D7" w:rsidRDefault="00BB6D0F" w:rsidP="004E7170">
      <w:pPr>
        <w:jc w:val="lowKashida"/>
        <w:rPr>
          <w:sz w:val="10"/>
          <w:szCs w:val="10"/>
        </w:rPr>
      </w:pPr>
    </w:p>
    <w:p w:rsidR="00B5698C" w:rsidRPr="004601D7" w:rsidRDefault="00B5698C" w:rsidP="002D738B">
      <w:pPr>
        <w:numPr>
          <w:ilvl w:val="0"/>
          <w:numId w:val="1"/>
        </w:numPr>
        <w:ind w:left="714" w:hanging="350"/>
        <w:jc w:val="both"/>
        <w:rPr>
          <w:noProof/>
        </w:rPr>
      </w:pPr>
      <w:r w:rsidRPr="004601D7">
        <w:rPr>
          <w:noProof/>
        </w:rPr>
        <w:t xml:space="preserve">The total number of teaching </w:t>
      </w:r>
      <w:r w:rsidR="00F07E78" w:rsidRPr="004601D7">
        <w:rPr>
          <w:noProof/>
        </w:rPr>
        <w:t>s</w:t>
      </w:r>
      <w:r w:rsidRPr="004601D7">
        <w:rPr>
          <w:noProof/>
        </w:rPr>
        <w:t xml:space="preserve">taff in UNRWA schools was </w:t>
      </w:r>
      <w:r w:rsidR="002D738B" w:rsidRPr="004601D7">
        <w:rPr>
          <w:noProof/>
        </w:rPr>
        <w:t>4,641</w:t>
      </w:r>
      <w:r w:rsidRPr="004601D7">
        <w:rPr>
          <w:noProof/>
        </w:rPr>
        <w:t xml:space="preserve"> in Jordan, </w:t>
      </w:r>
      <w:r w:rsidR="002D738B" w:rsidRPr="004601D7">
        <w:rPr>
          <w:noProof/>
        </w:rPr>
        <w:t>1,922</w:t>
      </w:r>
      <w:r w:rsidR="008072A6" w:rsidRPr="004601D7">
        <w:rPr>
          <w:noProof/>
        </w:rPr>
        <w:t xml:space="preserve"> </w:t>
      </w:r>
      <w:r w:rsidRPr="004601D7">
        <w:rPr>
          <w:noProof/>
        </w:rPr>
        <w:t xml:space="preserve">in Syria and </w:t>
      </w:r>
      <w:r w:rsidR="002D738B" w:rsidRPr="004601D7">
        <w:rPr>
          <w:noProof/>
        </w:rPr>
        <w:t>1,707</w:t>
      </w:r>
      <w:r w:rsidRPr="004601D7">
        <w:rPr>
          <w:noProof/>
        </w:rPr>
        <w:t xml:space="preserve"> in Lebanon in </w:t>
      </w:r>
      <w:r w:rsidR="005E3136" w:rsidRPr="004601D7">
        <w:rPr>
          <w:noProof/>
        </w:rPr>
        <w:t>2017</w:t>
      </w:r>
      <w:r w:rsidR="00507D5D" w:rsidRPr="004601D7">
        <w:rPr>
          <w:noProof/>
        </w:rPr>
        <w:t>/</w:t>
      </w:r>
      <w:r w:rsidR="005E3136" w:rsidRPr="004601D7">
        <w:rPr>
          <w:noProof/>
        </w:rPr>
        <w:t>2018</w:t>
      </w:r>
      <w:r w:rsidRPr="004601D7">
        <w:rPr>
          <w:noProof/>
        </w:rPr>
        <w:t xml:space="preserve">. </w:t>
      </w:r>
    </w:p>
    <w:p w:rsidR="005C4CFE" w:rsidRPr="004601D7" w:rsidRDefault="005C4CFE" w:rsidP="005C4CFE">
      <w:pPr>
        <w:pStyle w:val="ListParagraph"/>
      </w:pPr>
    </w:p>
    <w:p w:rsidR="005C4CFE" w:rsidRPr="004601D7" w:rsidRDefault="005C4CFE" w:rsidP="005075F0">
      <w:pPr>
        <w:numPr>
          <w:ilvl w:val="0"/>
          <w:numId w:val="1"/>
        </w:numPr>
        <w:ind w:left="714" w:hanging="350"/>
        <w:jc w:val="both"/>
        <w:rPr>
          <w:noProof/>
        </w:rPr>
      </w:pPr>
      <w:r w:rsidRPr="004601D7">
        <w:rPr>
          <w:noProof/>
        </w:rPr>
        <w:t xml:space="preserve">The number of vocational and technical training centers was </w:t>
      </w:r>
      <w:r w:rsidR="00426EE0" w:rsidRPr="004601D7">
        <w:rPr>
          <w:noProof/>
        </w:rPr>
        <w:t>8</w:t>
      </w:r>
      <w:r w:rsidRPr="004601D7">
        <w:rPr>
          <w:noProof/>
        </w:rPr>
        <w:t xml:space="preserve"> centers</w:t>
      </w:r>
      <w:r w:rsidR="009F266E" w:rsidRPr="004601D7">
        <w:rPr>
          <w:noProof/>
        </w:rPr>
        <w:t>:</w:t>
      </w:r>
      <w:r w:rsidR="0017458F" w:rsidRPr="004601D7">
        <w:rPr>
          <w:noProof/>
        </w:rPr>
        <w:t xml:space="preserve"> </w:t>
      </w:r>
      <w:r w:rsidR="00426EE0" w:rsidRPr="004601D7">
        <w:rPr>
          <w:noProof/>
        </w:rPr>
        <w:t>2</w:t>
      </w:r>
      <w:r w:rsidRPr="004601D7">
        <w:rPr>
          <w:noProof/>
        </w:rPr>
        <w:t xml:space="preserve"> centers in Jordan, </w:t>
      </w:r>
      <w:r w:rsidR="00426EE0" w:rsidRPr="004601D7">
        <w:rPr>
          <w:noProof/>
        </w:rPr>
        <w:t>1</w:t>
      </w:r>
      <w:r w:rsidRPr="004601D7">
        <w:rPr>
          <w:noProof/>
        </w:rPr>
        <w:t xml:space="preserve"> in Syria and Lebanon, and </w:t>
      </w:r>
      <w:r w:rsidR="00426EE0" w:rsidRPr="004601D7">
        <w:rPr>
          <w:noProof/>
        </w:rPr>
        <w:t>4</w:t>
      </w:r>
      <w:r w:rsidRPr="004601D7">
        <w:rPr>
          <w:noProof/>
        </w:rPr>
        <w:t xml:space="preserve"> in Palestine</w:t>
      </w:r>
      <w:r w:rsidR="00EF5593" w:rsidRPr="004601D7">
        <w:rPr>
          <w:noProof/>
        </w:rPr>
        <w:t xml:space="preserve">; </w:t>
      </w:r>
      <w:r w:rsidR="009F266E" w:rsidRPr="004601D7">
        <w:rPr>
          <w:noProof/>
        </w:rPr>
        <w:t xml:space="preserve">2 </w:t>
      </w:r>
      <w:r w:rsidR="0017458F" w:rsidRPr="004601D7">
        <w:rPr>
          <w:noProof/>
        </w:rPr>
        <w:t xml:space="preserve">centers </w:t>
      </w:r>
      <w:r w:rsidR="009F266E" w:rsidRPr="004601D7">
        <w:rPr>
          <w:noProof/>
        </w:rPr>
        <w:t>of w</w:t>
      </w:r>
      <w:r w:rsidR="005075F0" w:rsidRPr="004601D7">
        <w:rPr>
          <w:noProof/>
        </w:rPr>
        <w:t>h</w:t>
      </w:r>
      <w:r w:rsidR="009F266E" w:rsidRPr="004601D7">
        <w:rPr>
          <w:noProof/>
        </w:rPr>
        <w:t>ich are</w:t>
      </w:r>
      <w:r w:rsidRPr="004601D7">
        <w:rPr>
          <w:noProof/>
        </w:rPr>
        <w:t xml:space="preserve"> </w:t>
      </w:r>
      <w:r w:rsidR="005E355D" w:rsidRPr="004601D7">
        <w:rPr>
          <w:noProof/>
        </w:rPr>
        <w:t xml:space="preserve">in </w:t>
      </w:r>
      <w:r w:rsidRPr="004601D7">
        <w:rPr>
          <w:noProof/>
        </w:rPr>
        <w:t xml:space="preserve">the West Bank and </w:t>
      </w:r>
      <w:r w:rsidR="00EF5593" w:rsidRPr="004601D7">
        <w:rPr>
          <w:noProof/>
        </w:rPr>
        <w:t xml:space="preserve">the </w:t>
      </w:r>
      <w:r w:rsidR="005075F0" w:rsidRPr="004601D7">
        <w:rPr>
          <w:noProof/>
        </w:rPr>
        <w:t>other</w:t>
      </w:r>
      <w:r w:rsidR="00EF5593" w:rsidRPr="004601D7">
        <w:rPr>
          <w:noProof/>
        </w:rPr>
        <w:t xml:space="preserve"> </w:t>
      </w:r>
      <w:r w:rsidR="00426EE0" w:rsidRPr="004601D7">
        <w:rPr>
          <w:noProof/>
        </w:rPr>
        <w:t>2</w:t>
      </w:r>
      <w:r w:rsidRPr="004601D7">
        <w:rPr>
          <w:noProof/>
        </w:rPr>
        <w:t xml:space="preserve"> </w:t>
      </w:r>
      <w:r w:rsidR="00EF5593" w:rsidRPr="004601D7">
        <w:rPr>
          <w:noProof/>
        </w:rPr>
        <w:t xml:space="preserve">are </w:t>
      </w:r>
      <w:r w:rsidRPr="004601D7">
        <w:rPr>
          <w:noProof/>
        </w:rPr>
        <w:t>in Gaza Strip.</w:t>
      </w:r>
    </w:p>
    <w:p w:rsidR="005C4CFE" w:rsidRPr="004601D7" w:rsidRDefault="005C4CFE" w:rsidP="005C4CFE">
      <w:pPr>
        <w:ind w:left="714"/>
        <w:jc w:val="both"/>
        <w:rPr>
          <w:noProof/>
        </w:rPr>
      </w:pPr>
    </w:p>
    <w:p w:rsidR="005C4CFE" w:rsidRPr="004601D7" w:rsidRDefault="005C4CFE" w:rsidP="005C4CFE">
      <w:pPr>
        <w:jc w:val="both"/>
        <w:rPr>
          <w:b/>
          <w:bCs/>
        </w:rPr>
      </w:pPr>
      <w:r w:rsidRPr="004601D7">
        <w:rPr>
          <w:b/>
          <w:bCs/>
        </w:rPr>
        <w:t>Relief and Social Services:</w:t>
      </w:r>
    </w:p>
    <w:p w:rsidR="005C4CFE" w:rsidRPr="004601D7" w:rsidRDefault="00493687" w:rsidP="000F485D">
      <w:pPr>
        <w:numPr>
          <w:ilvl w:val="0"/>
          <w:numId w:val="1"/>
        </w:numPr>
        <w:ind w:left="714" w:hanging="350"/>
        <w:jc w:val="both"/>
        <w:rPr>
          <w:noProof/>
        </w:rPr>
      </w:pPr>
      <w:r w:rsidRPr="004601D7">
        <w:rPr>
          <w:noProof/>
        </w:rPr>
        <w:t>The number of women</w:t>
      </w:r>
      <w:r w:rsidR="005C4CFE" w:rsidRPr="004601D7">
        <w:rPr>
          <w:noProof/>
        </w:rPr>
        <w:t xml:space="preserve"> programs centers in Jordan, Lebanon, Syria and Palestine reached </w:t>
      </w:r>
      <w:r w:rsidR="005E3136" w:rsidRPr="004601D7">
        <w:rPr>
          <w:noProof/>
        </w:rPr>
        <w:t>61</w:t>
      </w:r>
      <w:r w:rsidR="005C4CFE" w:rsidRPr="004601D7">
        <w:rPr>
          <w:noProof/>
        </w:rPr>
        <w:t xml:space="preserve">. The number of social rehabilitation centers reached </w:t>
      </w:r>
      <w:r w:rsidR="005E3136" w:rsidRPr="004601D7">
        <w:rPr>
          <w:noProof/>
        </w:rPr>
        <w:t>38</w:t>
      </w:r>
      <w:r w:rsidR="00EF5593" w:rsidRPr="004601D7">
        <w:rPr>
          <w:noProof/>
        </w:rPr>
        <w:t xml:space="preserve">. The </w:t>
      </w:r>
      <w:r w:rsidR="005C4CFE" w:rsidRPr="004601D7">
        <w:rPr>
          <w:noProof/>
        </w:rPr>
        <w:t xml:space="preserve">number of social development centers reached </w:t>
      </w:r>
      <w:r w:rsidR="005E3136" w:rsidRPr="004601D7">
        <w:rPr>
          <w:noProof/>
        </w:rPr>
        <w:t>14</w:t>
      </w:r>
      <w:r w:rsidR="005C4CFE" w:rsidRPr="004601D7">
        <w:rPr>
          <w:noProof/>
        </w:rPr>
        <w:t xml:space="preserve">, and the funds managed by the community </w:t>
      </w:r>
      <w:r w:rsidR="005E3136" w:rsidRPr="004601D7">
        <w:rPr>
          <w:noProof/>
        </w:rPr>
        <w:t>25</w:t>
      </w:r>
      <w:r w:rsidR="005C4CFE" w:rsidRPr="004601D7">
        <w:rPr>
          <w:noProof/>
        </w:rPr>
        <w:t xml:space="preserve"> </w:t>
      </w:r>
      <w:r w:rsidR="000F485D" w:rsidRPr="004601D7">
        <w:rPr>
          <w:noProof/>
        </w:rPr>
        <w:t>at the end of 2019</w:t>
      </w:r>
      <w:r w:rsidR="002D738B" w:rsidRPr="004601D7">
        <w:rPr>
          <w:noProof/>
        </w:rPr>
        <w:t>.</w:t>
      </w:r>
      <w:r w:rsidR="005C4CFE" w:rsidRPr="004601D7">
        <w:rPr>
          <w:noProof/>
        </w:rPr>
        <w:t xml:space="preserve"> </w:t>
      </w:r>
    </w:p>
    <w:p w:rsidR="004D74D5" w:rsidRPr="004601D7" w:rsidRDefault="004D74D5" w:rsidP="005C4CFE">
      <w:pPr>
        <w:jc w:val="both"/>
        <w:rPr>
          <w:b/>
          <w:bCs/>
        </w:rPr>
      </w:pPr>
    </w:p>
    <w:p w:rsidR="005910AE" w:rsidRPr="004601D7" w:rsidRDefault="005910AE" w:rsidP="00915488">
      <w:pPr>
        <w:pStyle w:val="ListParagraph"/>
        <w:bidi w:val="0"/>
        <w:ind w:left="0"/>
        <w:jc w:val="lowKashida"/>
        <w:rPr>
          <w:rFonts w:cs="Times New Roman"/>
          <w:b/>
          <w:bCs/>
          <w:i/>
          <w:iCs/>
          <w:sz w:val="18"/>
          <w:szCs w:val="18"/>
          <w:u w:val="single"/>
        </w:rPr>
      </w:pPr>
      <w:r w:rsidRPr="004601D7">
        <w:rPr>
          <w:rFonts w:cs="Times New Roman"/>
          <w:b/>
          <w:bCs/>
          <w:i/>
          <w:iCs/>
          <w:sz w:val="18"/>
          <w:szCs w:val="18"/>
          <w:u w:val="single"/>
        </w:rPr>
        <w:t>For more detail</w:t>
      </w:r>
      <w:r w:rsidR="00F07E78" w:rsidRPr="004601D7">
        <w:rPr>
          <w:rFonts w:cs="Times New Roman"/>
          <w:b/>
          <w:bCs/>
          <w:i/>
          <w:iCs/>
          <w:sz w:val="18"/>
          <w:szCs w:val="18"/>
          <w:u w:val="single"/>
        </w:rPr>
        <w:t xml:space="preserve">s on </w:t>
      </w:r>
      <w:r w:rsidRPr="004601D7">
        <w:rPr>
          <w:rFonts w:cs="Times New Roman"/>
          <w:b/>
          <w:bCs/>
          <w:i/>
          <w:iCs/>
          <w:sz w:val="18"/>
          <w:szCs w:val="18"/>
          <w:u w:val="single"/>
        </w:rPr>
        <w:t>Palestinians in the Diaspora</w:t>
      </w:r>
      <w:r w:rsidR="00F07E78" w:rsidRPr="004601D7">
        <w:rPr>
          <w:rFonts w:cs="Times New Roman"/>
          <w:b/>
          <w:bCs/>
          <w:i/>
          <w:iCs/>
          <w:sz w:val="18"/>
          <w:szCs w:val="18"/>
          <w:u w:val="single"/>
        </w:rPr>
        <w:t>,</w:t>
      </w:r>
      <w:r w:rsidRPr="004601D7">
        <w:rPr>
          <w:rFonts w:cs="Times New Roman"/>
          <w:b/>
          <w:bCs/>
          <w:i/>
          <w:iCs/>
          <w:sz w:val="18"/>
          <w:szCs w:val="18"/>
          <w:u w:val="single"/>
        </w:rPr>
        <w:t xml:space="preserve"> </w:t>
      </w:r>
      <w:r w:rsidR="0037009A" w:rsidRPr="004601D7">
        <w:rPr>
          <w:rFonts w:cs="Times New Roman"/>
          <w:b/>
          <w:bCs/>
          <w:i/>
          <w:iCs/>
          <w:sz w:val="18"/>
          <w:szCs w:val="18"/>
          <w:u w:val="single"/>
        </w:rPr>
        <w:t xml:space="preserve">see </w:t>
      </w:r>
      <w:r w:rsidR="00F07E78" w:rsidRPr="004601D7">
        <w:rPr>
          <w:rFonts w:cs="Times New Roman"/>
          <w:b/>
          <w:bCs/>
          <w:i/>
          <w:iCs/>
          <w:sz w:val="18"/>
          <w:szCs w:val="18"/>
          <w:u w:val="single"/>
        </w:rPr>
        <w:t xml:space="preserve">the </w:t>
      </w:r>
      <w:r w:rsidR="0037009A" w:rsidRPr="004601D7">
        <w:rPr>
          <w:rFonts w:cs="Times New Roman"/>
          <w:b/>
          <w:bCs/>
          <w:i/>
          <w:iCs/>
          <w:sz w:val="18"/>
          <w:szCs w:val="18"/>
          <w:u w:val="single"/>
        </w:rPr>
        <w:t xml:space="preserve">tables </w:t>
      </w:r>
      <w:r w:rsidRPr="004601D7">
        <w:rPr>
          <w:rFonts w:cs="Times New Roman"/>
          <w:b/>
          <w:bCs/>
          <w:i/>
          <w:iCs/>
          <w:sz w:val="18"/>
          <w:szCs w:val="18"/>
          <w:u w:val="single"/>
        </w:rPr>
        <w:t xml:space="preserve">in chapter 3 </w:t>
      </w:r>
      <w:r w:rsidR="00F07E78" w:rsidRPr="004601D7">
        <w:rPr>
          <w:rFonts w:cs="Times New Roman"/>
          <w:b/>
          <w:bCs/>
          <w:i/>
          <w:iCs/>
          <w:sz w:val="18"/>
          <w:szCs w:val="18"/>
          <w:u w:val="single"/>
        </w:rPr>
        <w:t>of the</w:t>
      </w:r>
      <w:r w:rsidRPr="004601D7">
        <w:rPr>
          <w:rFonts w:cs="Times New Roman"/>
          <w:b/>
          <w:bCs/>
          <w:i/>
          <w:iCs/>
          <w:sz w:val="18"/>
          <w:szCs w:val="18"/>
          <w:u w:val="single"/>
        </w:rPr>
        <w:t xml:space="preserve"> </w:t>
      </w:r>
      <w:r w:rsidR="00654A09" w:rsidRPr="004601D7">
        <w:rPr>
          <w:rFonts w:cs="Times New Roman"/>
          <w:b/>
          <w:bCs/>
          <w:i/>
          <w:iCs/>
          <w:sz w:val="18"/>
          <w:szCs w:val="18"/>
          <w:u w:val="single"/>
        </w:rPr>
        <w:t>Arabic</w:t>
      </w:r>
      <w:r w:rsidRPr="004601D7">
        <w:rPr>
          <w:rFonts w:cs="Times New Roman"/>
          <w:b/>
          <w:bCs/>
          <w:i/>
          <w:iCs/>
          <w:sz w:val="18"/>
          <w:szCs w:val="18"/>
          <w:u w:val="single"/>
        </w:rPr>
        <w:t xml:space="preserve"> </w:t>
      </w:r>
      <w:r w:rsidR="00F07E78" w:rsidRPr="004601D7">
        <w:rPr>
          <w:rFonts w:cs="Times New Roman"/>
          <w:b/>
          <w:bCs/>
          <w:i/>
          <w:iCs/>
          <w:sz w:val="18"/>
          <w:szCs w:val="18"/>
          <w:u w:val="single"/>
        </w:rPr>
        <w:t xml:space="preserve">section, </w:t>
      </w:r>
      <w:r w:rsidRPr="004601D7">
        <w:rPr>
          <w:rFonts w:cs="Times New Roman"/>
          <w:b/>
          <w:bCs/>
          <w:i/>
          <w:iCs/>
          <w:sz w:val="18"/>
          <w:szCs w:val="18"/>
          <w:u w:val="single"/>
        </w:rPr>
        <w:t>page</w:t>
      </w:r>
      <w:r w:rsidR="00F07E78" w:rsidRPr="004601D7">
        <w:rPr>
          <w:rFonts w:cs="Times New Roman"/>
          <w:b/>
          <w:bCs/>
          <w:i/>
          <w:iCs/>
          <w:sz w:val="18"/>
          <w:szCs w:val="18"/>
          <w:u w:val="single"/>
        </w:rPr>
        <w:t>s</w:t>
      </w:r>
      <w:r w:rsidRPr="004601D7">
        <w:rPr>
          <w:rFonts w:cs="Times New Roman"/>
          <w:b/>
          <w:bCs/>
          <w:i/>
          <w:iCs/>
          <w:sz w:val="18"/>
          <w:szCs w:val="18"/>
          <w:u w:val="single"/>
          <w:rtl/>
        </w:rPr>
        <w:t xml:space="preserve"> </w:t>
      </w:r>
      <w:r w:rsidR="00426EE0" w:rsidRPr="004601D7">
        <w:rPr>
          <w:rFonts w:cs="Times New Roman"/>
          <w:b/>
          <w:bCs/>
          <w:i/>
          <w:iCs/>
          <w:sz w:val="18"/>
          <w:szCs w:val="18"/>
          <w:u w:val="single"/>
        </w:rPr>
        <w:t>2</w:t>
      </w:r>
      <w:r w:rsidR="00915488">
        <w:rPr>
          <w:rFonts w:cs="Times New Roman"/>
          <w:b/>
          <w:bCs/>
          <w:i/>
          <w:iCs/>
          <w:sz w:val="18"/>
          <w:szCs w:val="18"/>
          <w:u w:val="single"/>
        </w:rPr>
        <w:t>61</w:t>
      </w:r>
      <w:r w:rsidRPr="004601D7">
        <w:rPr>
          <w:rFonts w:cs="Times New Roman"/>
          <w:b/>
          <w:bCs/>
          <w:i/>
          <w:iCs/>
          <w:sz w:val="18"/>
          <w:szCs w:val="18"/>
          <w:u w:val="single"/>
        </w:rPr>
        <w:t>-</w:t>
      </w:r>
      <w:r w:rsidR="00426EE0" w:rsidRPr="004601D7">
        <w:rPr>
          <w:rFonts w:cs="Times New Roman"/>
          <w:b/>
          <w:bCs/>
          <w:i/>
          <w:iCs/>
          <w:sz w:val="18"/>
          <w:szCs w:val="18"/>
          <w:u w:val="single"/>
        </w:rPr>
        <w:t>2</w:t>
      </w:r>
      <w:r w:rsidR="00915488">
        <w:rPr>
          <w:rFonts w:cs="Times New Roman"/>
          <w:b/>
          <w:bCs/>
          <w:i/>
          <w:iCs/>
          <w:sz w:val="18"/>
          <w:szCs w:val="18"/>
          <w:u w:val="single"/>
        </w:rPr>
        <w:t>68</w:t>
      </w:r>
      <w:r w:rsidR="00F07E78" w:rsidRPr="004601D7">
        <w:rPr>
          <w:rFonts w:cs="Times New Roman"/>
          <w:b/>
          <w:bCs/>
          <w:i/>
          <w:iCs/>
          <w:sz w:val="18"/>
          <w:szCs w:val="18"/>
          <w:u w:val="single"/>
        </w:rPr>
        <w:t>.</w:t>
      </w:r>
    </w:p>
    <w:p w:rsidR="006263A0" w:rsidRPr="004601D7" w:rsidRDefault="006263A0" w:rsidP="006263A0">
      <w:pPr>
        <w:pStyle w:val="ListParagraph"/>
        <w:bidi w:val="0"/>
        <w:ind w:left="0"/>
        <w:jc w:val="lowKashida"/>
        <w:rPr>
          <w:rFonts w:cs="Times New Roman"/>
          <w:b/>
          <w:bCs/>
          <w:i/>
          <w:iCs/>
          <w:sz w:val="18"/>
          <w:szCs w:val="18"/>
          <w:u w:val="single"/>
        </w:rPr>
      </w:pPr>
    </w:p>
    <w:p w:rsidR="006263A0" w:rsidRPr="004601D7" w:rsidRDefault="006263A0" w:rsidP="006263A0">
      <w:pPr>
        <w:pStyle w:val="ListParagraph"/>
        <w:bidi w:val="0"/>
        <w:ind w:left="0"/>
        <w:jc w:val="lowKashida"/>
        <w:rPr>
          <w:rFonts w:cs="Times New Roman"/>
          <w:b/>
          <w:bCs/>
          <w:i/>
          <w:iCs/>
          <w:sz w:val="18"/>
          <w:szCs w:val="18"/>
          <w:u w:val="single"/>
        </w:rPr>
      </w:pPr>
    </w:p>
    <w:p w:rsidR="002173CB" w:rsidRPr="004601D7" w:rsidRDefault="002173CB" w:rsidP="002173CB">
      <w:pPr>
        <w:pStyle w:val="ListParagraph"/>
        <w:bidi w:val="0"/>
        <w:ind w:left="0"/>
        <w:jc w:val="lowKashida"/>
        <w:rPr>
          <w:rFonts w:cs="Times New Roman"/>
          <w:i/>
          <w:iCs/>
          <w:sz w:val="20"/>
          <w:u w:val="single"/>
        </w:rPr>
      </w:pPr>
    </w:p>
    <w:sectPr w:rsidR="002173CB" w:rsidRPr="004601D7" w:rsidSect="00793CB8">
      <w:headerReference w:type="default" r:id="rId22"/>
      <w:footerReference w:type="even" r:id="rId23"/>
      <w:footerReference w:type="default" r:id="rId24"/>
      <w:endnotePr>
        <w:numFmt w:val="lowerLetter"/>
      </w:endnotePr>
      <w:pgSz w:w="9639" w:h="13608" w:code="9"/>
      <w:pgMar w:top="1134" w:right="1134" w:bottom="1134" w:left="1134" w:header="680" w:footer="680" w:gutter="0"/>
      <w:pgNumType w:start="1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5BE" w:rsidRDefault="00F645BE">
      <w:r>
        <w:separator/>
      </w:r>
    </w:p>
  </w:endnote>
  <w:endnote w:type="continuationSeparator" w:id="0">
    <w:p w:rsidR="00F645BE" w:rsidRDefault="00F64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2A6" w:rsidRDefault="0062150F">
    <w:pPr>
      <w:pStyle w:val="Footer"/>
      <w:framePr w:wrap="around" w:vAnchor="text" w:hAnchor="margin" w:xAlign="center" w:y="1"/>
      <w:rPr>
        <w:rStyle w:val="PageNumber"/>
      </w:rPr>
    </w:pPr>
    <w:r>
      <w:rPr>
        <w:rStyle w:val="PageNumber"/>
      </w:rPr>
      <w:fldChar w:fldCharType="begin"/>
    </w:r>
    <w:r w:rsidR="008832A6">
      <w:rPr>
        <w:rStyle w:val="PageNumber"/>
      </w:rPr>
      <w:instrText xml:space="preserve">PAGE  </w:instrText>
    </w:r>
    <w:r>
      <w:rPr>
        <w:rStyle w:val="PageNumber"/>
      </w:rPr>
      <w:fldChar w:fldCharType="end"/>
    </w:r>
  </w:p>
  <w:p w:rsidR="008832A6" w:rsidRDefault="008832A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2A6" w:rsidRDefault="008832A6">
    <w:pPr>
      <w:pStyle w:val="Footer"/>
      <w:framePr w:w="522" w:wrap="around" w:vAnchor="text" w:hAnchor="margin" w:xAlign="center" w:y="12"/>
      <w:rPr>
        <w:rStyle w:val="PageNumber"/>
      </w:rPr>
    </w:pPr>
    <w:r>
      <w:rPr>
        <w:rStyle w:val="PageNumber"/>
      </w:rPr>
      <w:t>[</w:t>
    </w:r>
    <w:r w:rsidR="0062150F">
      <w:rPr>
        <w:rStyle w:val="PageNumber"/>
        <w:rFonts w:ascii="Arial" w:hAnsi="Arial" w:cs="Arial"/>
        <w:sz w:val="18"/>
        <w:szCs w:val="18"/>
      </w:rPr>
      <w:fldChar w:fldCharType="begin"/>
    </w:r>
    <w:r>
      <w:rPr>
        <w:rStyle w:val="PageNumber"/>
        <w:rFonts w:ascii="Arial" w:hAnsi="Arial" w:cs="Arial"/>
        <w:sz w:val="18"/>
        <w:szCs w:val="18"/>
      </w:rPr>
      <w:instrText xml:space="preserve">PAGE  </w:instrText>
    </w:r>
    <w:r w:rsidR="0062150F">
      <w:rPr>
        <w:rStyle w:val="PageNumber"/>
        <w:rFonts w:ascii="Arial" w:hAnsi="Arial" w:cs="Arial"/>
        <w:sz w:val="18"/>
        <w:szCs w:val="18"/>
      </w:rPr>
      <w:fldChar w:fldCharType="separate"/>
    </w:r>
    <w:r w:rsidR="00387F72">
      <w:rPr>
        <w:rStyle w:val="PageNumber"/>
        <w:rFonts w:ascii="Arial" w:hAnsi="Arial" w:cs="Arial"/>
        <w:noProof/>
        <w:sz w:val="18"/>
        <w:szCs w:val="18"/>
      </w:rPr>
      <w:t>19</w:t>
    </w:r>
    <w:r w:rsidR="0062150F">
      <w:rPr>
        <w:rStyle w:val="PageNumber"/>
        <w:rFonts w:ascii="Arial" w:hAnsi="Arial" w:cs="Arial"/>
        <w:sz w:val="18"/>
        <w:szCs w:val="18"/>
      </w:rPr>
      <w:fldChar w:fldCharType="end"/>
    </w:r>
    <w:r>
      <w:rPr>
        <w:rStyle w:val="PageNumber"/>
      </w:rPr>
      <w:t>]</w:t>
    </w:r>
  </w:p>
  <w:p w:rsidR="008832A6" w:rsidRDefault="008832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5BE" w:rsidRDefault="00F645BE">
      <w:r>
        <w:separator/>
      </w:r>
    </w:p>
  </w:footnote>
  <w:footnote w:type="continuationSeparator" w:id="0">
    <w:p w:rsidR="00F645BE" w:rsidRDefault="00F645BE">
      <w:r>
        <w:continuationSeparator/>
      </w:r>
    </w:p>
  </w:footnote>
  <w:footnote w:id="1">
    <w:p w:rsidR="001F23F9" w:rsidRPr="00E311A5" w:rsidRDefault="001F23F9" w:rsidP="001F23F9">
      <w:pPr>
        <w:pStyle w:val="FootnoteText"/>
        <w:rPr>
          <w:sz w:val="14"/>
          <w:szCs w:val="18"/>
        </w:rPr>
      </w:pPr>
      <w:r w:rsidRPr="00E311A5">
        <w:rPr>
          <w:rStyle w:val="FootnoteReference"/>
          <w:sz w:val="14"/>
          <w:szCs w:val="18"/>
        </w:rPr>
        <w:footnoteRef/>
      </w:r>
      <w:r w:rsidRPr="00E311A5">
        <w:rPr>
          <w:sz w:val="14"/>
          <w:szCs w:val="18"/>
        </w:rPr>
        <w:t xml:space="preserve"> Households Which have children between the ages (6-18 years) and are enrolled in education before the lockdown. period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2A6" w:rsidRPr="00940590" w:rsidRDefault="008832A6" w:rsidP="00BB40F1">
    <w:pPr>
      <w:pStyle w:val="Footer"/>
      <w:rPr>
        <w:sz w:val="16"/>
        <w:szCs w:val="16"/>
      </w:rPr>
    </w:pPr>
    <w:r>
      <w:rPr>
        <w:sz w:val="16"/>
      </w:rPr>
      <w:t xml:space="preserve">PCBS: Statistical Yearbook </w:t>
    </w:r>
    <w:r w:rsidR="00BB40F1">
      <w:rPr>
        <w:sz w:val="16"/>
      </w:rPr>
      <w:t>of Palestine</w:t>
    </w:r>
    <w:r>
      <w:rPr>
        <w:sz w:val="16"/>
      </w:rPr>
      <w:t xml:space="preserve"> </w:t>
    </w:r>
    <w:r w:rsidR="00BB40F1">
      <w:rPr>
        <w:sz w:val="16"/>
      </w:rPr>
      <w:t xml:space="preserve">2020                                                                                               </w:t>
    </w:r>
    <w:r>
      <w:rPr>
        <w:sz w:val="16"/>
        <w:szCs w:val="16"/>
      </w:rPr>
      <w:t>Summary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2CD0"/>
    <w:multiLevelType w:val="hybridMultilevel"/>
    <w:tmpl w:val="C12436AA"/>
    <w:lvl w:ilvl="0" w:tplc="82240B8E">
      <w:start w:val="24"/>
      <w:numFmt w:val="decimal"/>
      <w:lvlText w:val="%1."/>
      <w:lvlJc w:val="left"/>
      <w:pPr>
        <w:ind w:left="15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15:restartNumberingAfterBreak="0">
    <w:nsid w:val="02150D35"/>
    <w:multiLevelType w:val="hybridMultilevel"/>
    <w:tmpl w:val="D7A8C99A"/>
    <w:lvl w:ilvl="0" w:tplc="82240B8E">
      <w:start w:val="24"/>
      <w:numFmt w:val="decimal"/>
      <w:lvlText w:val="%1."/>
      <w:lvlJc w:val="left"/>
      <w:pPr>
        <w:ind w:left="15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 w15:restartNumberingAfterBreak="0">
    <w:nsid w:val="12131EDA"/>
    <w:multiLevelType w:val="hybridMultilevel"/>
    <w:tmpl w:val="8438E85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32B1A22"/>
    <w:multiLevelType w:val="hybridMultilevel"/>
    <w:tmpl w:val="A67A4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A27E5"/>
    <w:multiLevelType w:val="hybridMultilevel"/>
    <w:tmpl w:val="79F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32F90"/>
    <w:multiLevelType w:val="hybridMultilevel"/>
    <w:tmpl w:val="BF161F64"/>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FE4277F"/>
    <w:multiLevelType w:val="hybridMultilevel"/>
    <w:tmpl w:val="CF765A1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25C118CB"/>
    <w:multiLevelType w:val="hybridMultilevel"/>
    <w:tmpl w:val="27BCA5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D8703C"/>
    <w:multiLevelType w:val="hybridMultilevel"/>
    <w:tmpl w:val="01A8CF0A"/>
    <w:lvl w:ilvl="0" w:tplc="B04250E0">
      <w:start w:val="1"/>
      <w:numFmt w:val="decimal"/>
      <w:lvlText w:val="%1. "/>
      <w:lvlJc w:val="left"/>
      <w:pPr>
        <w:ind w:left="36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1CD45AD"/>
    <w:multiLevelType w:val="hybridMultilevel"/>
    <w:tmpl w:val="6AE43A2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0" w15:restartNumberingAfterBreak="0">
    <w:nsid w:val="3D4B1CDF"/>
    <w:multiLevelType w:val="hybridMultilevel"/>
    <w:tmpl w:val="47DAC31C"/>
    <w:lvl w:ilvl="0" w:tplc="04010001">
      <w:start w:val="1"/>
      <w:numFmt w:val="bullet"/>
      <w:lvlText w:val=""/>
      <w:lvlJc w:val="left"/>
      <w:pPr>
        <w:tabs>
          <w:tab w:val="num" w:pos="360"/>
        </w:tabs>
        <w:ind w:left="360"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EB225C"/>
    <w:multiLevelType w:val="hybridMultilevel"/>
    <w:tmpl w:val="D3AAD7F8"/>
    <w:lvl w:ilvl="0" w:tplc="82240B8E">
      <w:start w:val="24"/>
      <w:numFmt w:val="decimal"/>
      <w:lvlText w:val="%1."/>
      <w:lvlJc w:val="left"/>
      <w:pPr>
        <w:ind w:left="15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2" w15:restartNumberingAfterBreak="0">
    <w:nsid w:val="4C6330BD"/>
    <w:multiLevelType w:val="hybridMultilevel"/>
    <w:tmpl w:val="240E9594"/>
    <w:lvl w:ilvl="0" w:tplc="0409000F">
      <w:start w:val="1"/>
      <w:numFmt w:val="decimal"/>
      <w:lvlText w:val="%1."/>
      <w:lvlJc w:val="left"/>
      <w:pPr>
        <w:ind w:left="972" w:hanging="360"/>
      </w:p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13" w15:restartNumberingAfterBreak="0">
    <w:nsid w:val="4CC84C72"/>
    <w:multiLevelType w:val="hybridMultilevel"/>
    <w:tmpl w:val="F200ACF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56F00F86"/>
    <w:multiLevelType w:val="hybridMultilevel"/>
    <w:tmpl w:val="85C8BE56"/>
    <w:lvl w:ilvl="0" w:tplc="0401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72" w:hanging="360"/>
      </w:pPr>
      <w:rPr>
        <w:rFonts w:cs="Times New Roman"/>
      </w:rPr>
    </w:lvl>
    <w:lvl w:ilvl="2" w:tplc="0409001B" w:tentative="1">
      <w:start w:val="1"/>
      <w:numFmt w:val="lowerRoman"/>
      <w:lvlText w:val="%3."/>
      <w:lvlJc w:val="right"/>
      <w:pPr>
        <w:ind w:left="1592" w:hanging="180"/>
      </w:pPr>
      <w:rPr>
        <w:rFonts w:cs="Times New Roman"/>
      </w:rPr>
    </w:lvl>
    <w:lvl w:ilvl="3" w:tplc="0409000F" w:tentative="1">
      <w:start w:val="1"/>
      <w:numFmt w:val="decimal"/>
      <w:lvlText w:val="%4."/>
      <w:lvlJc w:val="left"/>
      <w:pPr>
        <w:ind w:left="2312" w:hanging="360"/>
      </w:pPr>
      <w:rPr>
        <w:rFonts w:cs="Times New Roman"/>
      </w:rPr>
    </w:lvl>
    <w:lvl w:ilvl="4" w:tplc="04090019" w:tentative="1">
      <w:start w:val="1"/>
      <w:numFmt w:val="lowerLetter"/>
      <w:lvlText w:val="%5."/>
      <w:lvlJc w:val="left"/>
      <w:pPr>
        <w:ind w:left="3032" w:hanging="360"/>
      </w:pPr>
      <w:rPr>
        <w:rFonts w:cs="Times New Roman"/>
      </w:rPr>
    </w:lvl>
    <w:lvl w:ilvl="5" w:tplc="0409001B" w:tentative="1">
      <w:start w:val="1"/>
      <w:numFmt w:val="lowerRoman"/>
      <w:lvlText w:val="%6."/>
      <w:lvlJc w:val="right"/>
      <w:pPr>
        <w:ind w:left="3752" w:hanging="180"/>
      </w:pPr>
      <w:rPr>
        <w:rFonts w:cs="Times New Roman"/>
      </w:rPr>
    </w:lvl>
    <w:lvl w:ilvl="6" w:tplc="0409000F" w:tentative="1">
      <w:start w:val="1"/>
      <w:numFmt w:val="decimal"/>
      <w:lvlText w:val="%7."/>
      <w:lvlJc w:val="left"/>
      <w:pPr>
        <w:ind w:left="4472" w:hanging="360"/>
      </w:pPr>
      <w:rPr>
        <w:rFonts w:cs="Times New Roman"/>
      </w:rPr>
    </w:lvl>
    <w:lvl w:ilvl="7" w:tplc="04090019" w:tentative="1">
      <w:start w:val="1"/>
      <w:numFmt w:val="lowerLetter"/>
      <w:lvlText w:val="%8."/>
      <w:lvlJc w:val="left"/>
      <w:pPr>
        <w:ind w:left="5192" w:hanging="360"/>
      </w:pPr>
      <w:rPr>
        <w:rFonts w:cs="Times New Roman"/>
      </w:rPr>
    </w:lvl>
    <w:lvl w:ilvl="8" w:tplc="0409001B" w:tentative="1">
      <w:start w:val="1"/>
      <w:numFmt w:val="lowerRoman"/>
      <w:lvlText w:val="%9."/>
      <w:lvlJc w:val="right"/>
      <w:pPr>
        <w:ind w:left="5912" w:hanging="180"/>
      </w:pPr>
      <w:rPr>
        <w:rFonts w:cs="Times New Roman"/>
      </w:rPr>
    </w:lvl>
  </w:abstractNum>
  <w:abstractNum w:abstractNumId="15" w15:restartNumberingAfterBreak="0">
    <w:nsid w:val="58450C69"/>
    <w:multiLevelType w:val="hybridMultilevel"/>
    <w:tmpl w:val="710EA7C0"/>
    <w:lvl w:ilvl="0" w:tplc="82240B8E">
      <w:start w:val="2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D84833"/>
    <w:multiLevelType w:val="hybridMultilevel"/>
    <w:tmpl w:val="1D244EFA"/>
    <w:lvl w:ilvl="0" w:tplc="82240B8E">
      <w:start w:val="24"/>
      <w:numFmt w:val="decimal"/>
      <w:lvlText w:val="%1."/>
      <w:lvlJc w:val="left"/>
      <w:pPr>
        <w:ind w:left="15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7" w15:restartNumberingAfterBreak="0">
    <w:nsid w:val="5D473BC0"/>
    <w:multiLevelType w:val="hybridMultilevel"/>
    <w:tmpl w:val="6B725B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F9B764D"/>
    <w:multiLevelType w:val="hybridMultilevel"/>
    <w:tmpl w:val="6C02E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CA0A3D"/>
    <w:multiLevelType w:val="hybridMultilevel"/>
    <w:tmpl w:val="EFFC25A6"/>
    <w:lvl w:ilvl="0" w:tplc="0409000F">
      <w:start w:val="1"/>
      <w:numFmt w:val="decimal"/>
      <w:lvlText w:val="%1."/>
      <w:lvlJc w:val="left"/>
      <w:pPr>
        <w:ind w:left="972" w:hanging="360"/>
      </w:p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0" w15:restartNumberingAfterBreak="0">
    <w:nsid w:val="6FBE2287"/>
    <w:multiLevelType w:val="hybridMultilevel"/>
    <w:tmpl w:val="C16C0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251485"/>
    <w:multiLevelType w:val="hybridMultilevel"/>
    <w:tmpl w:val="A394FE9A"/>
    <w:lvl w:ilvl="0" w:tplc="BB3EE722">
      <w:numFmt w:val="bullet"/>
      <w:lvlText w:val=""/>
      <w:lvlJc w:val="left"/>
      <w:pPr>
        <w:ind w:left="1288" w:hanging="360"/>
      </w:pPr>
      <w:rPr>
        <w:rFonts w:ascii="Symbol" w:eastAsia="Times New Roman" w:hAnsi="Symbol"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71104B87"/>
    <w:multiLevelType w:val="hybridMultilevel"/>
    <w:tmpl w:val="AB6CC03E"/>
    <w:lvl w:ilvl="0" w:tplc="040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AB5240"/>
    <w:multiLevelType w:val="hybridMultilevel"/>
    <w:tmpl w:val="2FE60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071A82"/>
    <w:multiLevelType w:val="hybridMultilevel"/>
    <w:tmpl w:val="CEC27E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5FC18C3"/>
    <w:multiLevelType w:val="hybridMultilevel"/>
    <w:tmpl w:val="5448A3D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6B82FBC"/>
    <w:multiLevelType w:val="hybridMultilevel"/>
    <w:tmpl w:val="116EEA3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7"/>
  </w:num>
  <w:num w:numId="2">
    <w:abstractNumId w:val="17"/>
  </w:num>
  <w:num w:numId="3">
    <w:abstractNumId w:val="10"/>
  </w:num>
  <w:num w:numId="4">
    <w:abstractNumId w:val="5"/>
  </w:num>
  <w:num w:numId="5">
    <w:abstractNumId w:val="22"/>
  </w:num>
  <w:num w:numId="6">
    <w:abstractNumId w:val="13"/>
  </w:num>
  <w:num w:numId="7">
    <w:abstractNumId w:val="9"/>
  </w:num>
  <w:num w:numId="8">
    <w:abstractNumId w:val="4"/>
  </w:num>
  <w:num w:numId="9">
    <w:abstractNumId w:val="14"/>
  </w:num>
  <w:num w:numId="10">
    <w:abstractNumId w:val="6"/>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5"/>
  </w:num>
  <w:num w:numId="14">
    <w:abstractNumId w:val="0"/>
  </w:num>
  <w:num w:numId="15">
    <w:abstractNumId w:val="11"/>
  </w:num>
  <w:num w:numId="16">
    <w:abstractNumId w:val="1"/>
  </w:num>
  <w:num w:numId="17">
    <w:abstractNumId w:val="16"/>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9"/>
  </w:num>
  <w:num w:numId="24">
    <w:abstractNumId w:val="3"/>
  </w:num>
  <w:num w:numId="25">
    <w:abstractNumId w:val="26"/>
  </w:num>
  <w:num w:numId="26">
    <w:abstractNumId w:val="2"/>
  </w:num>
  <w:num w:numId="27">
    <w:abstractNumId w:val="23"/>
  </w:num>
  <w:num w:numId="28">
    <w:abstractNumId w:val="24"/>
  </w:num>
  <w:num w:numId="29">
    <w:abstractNumId w:val="20"/>
  </w:num>
  <w:num w:numId="3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Setting w:name="compatibilityMode" w:uri="http://schemas.microsoft.com/office/word" w:val="12"/>
  </w:compat>
  <w:docVars>
    <w:docVar w:name="__Grammarly_42____i" w:val="H4sIAAAAAAAEAKtWckksSQxILCpxzi/NK1GyMqwFAAEhoTITAAAA"/>
    <w:docVar w:name="__Grammarly_42___1" w:val="H4sIAAAAAAAEAKtWcslP9kxRslIyNDYyMjAwNLMwNjUzMDA1MTRR0lEKTi0uzszPAykwrQUAPNOZNCwAAAA="/>
  </w:docVars>
  <w:rsids>
    <w:rsidRoot w:val="001F2744"/>
    <w:rsid w:val="000015AB"/>
    <w:rsid w:val="0000259E"/>
    <w:rsid w:val="00003109"/>
    <w:rsid w:val="0000480C"/>
    <w:rsid w:val="0000488C"/>
    <w:rsid w:val="00005108"/>
    <w:rsid w:val="00005CD1"/>
    <w:rsid w:val="0000650F"/>
    <w:rsid w:val="00007BF1"/>
    <w:rsid w:val="000106C1"/>
    <w:rsid w:val="00011A35"/>
    <w:rsid w:val="00011D0F"/>
    <w:rsid w:val="00011E19"/>
    <w:rsid w:val="0001217D"/>
    <w:rsid w:val="000128C2"/>
    <w:rsid w:val="000152A0"/>
    <w:rsid w:val="0001622B"/>
    <w:rsid w:val="000163BE"/>
    <w:rsid w:val="00017619"/>
    <w:rsid w:val="00017E1B"/>
    <w:rsid w:val="00020126"/>
    <w:rsid w:val="000211B6"/>
    <w:rsid w:val="00021836"/>
    <w:rsid w:val="00021930"/>
    <w:rsid w:val="00022054"/>
    <w:rsid w:val="00022560"/>
    <w:rsid w:val="000225D0"/>
    <w:rsid w:val="00022ED2"/>
    <w:rsid w:val="00024622"/>
    <w:rsid w:val="000249A2"/>
    <w:rsid w:val="00026A36"/>
    <w:rsid w:val="00026CE1"/>
    <w:rsid w:val="00027209"/>
    <w:rsid w:val="00030D20"/>
    <w:rsid w:val="00031EFF"/>
    <w:rsid w:val="00034854"/>
    <w:rsid w:val="00034C15"/>
    <w:rsid w:val="00035DDA"/>
    <w:rsid w:val="00035E4B"/>
    <w:rsid w:val="000370C9"/>
    <w:rsid w:val="00040C4B"/>
    <w:rsid w:val="000414D0"/>
    <w:rsid w:val="0004150F"/>
    <w:rsid w:val="00042FE0"/>
    <w:rsid w:val="000432A2"/>
    <w:rsid w:val="000436BA"/>
    <w:rsid w:val="00043B52"/>
    <w:rsid w:val="00044754"/>
    <w:rsid w:val="000457C7"/>
    <w:rsid w:val="00045A0C"/>
    <w:rsid w:val="00045CF3"/>
    <w:rsid w:val="00047837"/>
    <w:rsid w:val="00047EAC"/>
    <w:rsid w:val="0005015E"/>
    <w:rsid w:val="00050C4D"/>
    <w:rsid w:val="00050EE4"/>
    <w:rsid w:val="00054038"/>
    <w:rsid w:val="000547E8"/>
    <w:rsid w:val="00054FF8"/>
    <w:rsid w:val="0005542D"/>
    <w:rsid w:val="00056A4C"/>
    <w:rsid w:val="00056EFF"/>
    <w:rsid w:val="00056F1F"/>
    <w:rsid w:val="00057248"/>
    <w:rsid w:val="00061A8B"/>
    <w:rsid w:val="0006485A"/>
    <w:rsid w:val="00064D21"/>
    <w:rsid w:val="000653BF"/>
    <w:rsid w:val="00066234"/>
    <w:rsid w:val="000666B9"/>
    <w:rsid w:val="0006733F"/>
    <w:rsid w:val="00067375"/>
    <w:rsid w:val="00070810"/>
    <w:rsid w:val="00071342"/>
    <w:rsid w:val="00071895"/>
    <w:rsid w:val="00071B44"/>
    <w:rsid w:val="00071EE2"/>
    <w:rsid w:val="00072214"/>
    <w:rsid w:val="000730FB"/>
    <w:rsid w:val="0007478A"/>
    <w:rsid w:val="00075F09"/>
    <w:rsid w:val="00081EDB"/>
    <w:rsid w:val="00082D3C"/>
    <w:rsid w:val="00082E45"/>
    <w:rsid w:val="00083337"/>
    <w:rsid w:val="00084AEE"/>
    <w:rsid w:val="00085277"/>
    <w:rsid w:val="00085573"/>
    <w:rsid w:val="000863F4"/>
    <w:rsid w:val="00086E73"/>
    <w:rsid w:val="000878AD"/>
    <w:rsid w:val="000902D0"/>
    <w:rsid w:val="0009119F"/>
    <w:rsid w:val="00091DCE"/>
    <w:rsid w:val="00091ED2"/>
    <w:rsid w:val="00091FE1"/>
    <w:rsid w:val="00093168"/>
    <w:rsid w:val="00093CDA"/>
    <w:rsid w:val="00093F82"/>
    <w:rsid w:val="00094867"/>
    <w:rsid w:val="00094FD3"/>
    <w:rsid w:val="0009574B"/>
    <w:rsid w:val="00095B20"/>
    <w:rsid w:val="0009637A"/>
    <w:rsid w:val="00097847"/>
    <w:rsid w:val="000A09DD"/>
    <w:rsid w:val="000A0A5F"/>
    <w:rsid w:val="000A2826"/>
    <w:rsid w:val="000A426B"/>
    <w:rsid w:val="000A4DED"/>
    <w:rsid w:val="000A54C4"/>
    <w:rsid w:val="000A66E8"/>
    <w:rsid w:val="000A6F09"/>
    <w:rsid w:val="000A7477"/>
    <w:rsid w:val="000B0445"/>
    <w:rsid w:val="000B1056"/>
    <w:rsid w:val="000B1364"/>
    <w:rsid w:val="000B1DD8"/>
    <w:rsid w:val="000B29D8"/>
    <w:rsid w:val="000B3D9A"/>
    <w:rsid w:val="000B464B"/>
    <w:rsid w:val="000B5AFB"/>
    <w:rsid w:val="000B5D0A"/>
    <w:rsid w:val="000B61E4"/>
    <w:rsid w:val="000B6AA1"/>
    <w:rsid w:val="000B6F29"/>
    <w:rsid w:val="000C06B4"/>
    <w:rsid w:val="000C0E16"/>
    <w:rsid w:val="000C1652"/>
    <w:rsid w:val="000C2FDB"/>
    <w:rsid w:val="000C3777"/>
    <w:rsid w:val="000C45BC"/>
    <w:rsid w:val="000C5EEF"/>
    <w:rsid w:val="000C5F39"/>
    <w:rsid w:val="000C5F6C"/>
    <w:rsid w:val="000C5FCE"/>
    <w:rsid w:val="000C603D"/>
    <w:rsid w:val="000C6C18"/>
    <w:rsid w:val="000C724A"/>
    <w:rsid w:val="000C7D52"/>
    <w:rsid w:val="000D061C"/>
    <w:rsid w:val="000D0910"/>
    <w:rsid w:val="000D127C"/>
    <w:rsid w:val="000D1B92"/>
    <w:rsid w:val="000D1F8B"/>
    <w:rsid w:val="000D23AB"/>
    <w:rsid w:val="000D29C8"/>
    <w:rsid w:val="000D382D"/>
    <w:rsid w:val="000D6182"/>
    <w:rsid w:val="000D67F7"/>
    <w:rsid w:val="000D6E1F"/>
    <w:rsid w:val="000E02DB"/>
    <w:rsid w:val="000E02F0"/>
    <w:rsid w:val="000E0593"/>
    <w:rsid w:val="000E1321"/>
    <w:rsid w:val="000E3433"/>
    <w:rsid w:val="000E4CAC"/>
    <w:rsid w:val="000E54C9"/>
    <w:rsid w:val="000E5EC7"/>
    <w:rsid w:val="000E66DE"/>
    <w:rsid w:val="000E674F"/>
    <w:rsid w:val="000F0472"/>
    <w:rsid w:val="000F24DF"/>
    <w:rsid w:val="000F27D6"/>
    <w:rsid w:val="000F3D1B"/>
    <w:rsid w:val="000F44F5"/>
    <w:rsid w:val="000F485D"/>
    <w:rsid w:val="000F596E"/>
    <w:rsid w:val="000F7498"/>
    <w:rsid w:val="00100B2A"/>
    <w:rsid w:val="00100B38"/>
    <w:rsid w:val="00100DEE"/>
    <w:rsid w:val="0010124B"/>
    <w:rsid w:val="0010154C"/>
    <w:rsid w:val="00101937"/>
    <w:rsid w:val="0010297B"/>
    <w:rsid w:val="00103712"/>
    <w:rsid w:val="0010450F"/>
    <w:rsid w:val="001047EC"/>
    <w:rsid w:val="0010658D"/>
    <w:rsid w:val="00106734"/>
    <w:rsid w:val="001113F3"/>
    <w:rsid w:val="001115AF"/>
    <w:rsid w:val="00112829"/>
    <w:rsid w:val="00113038"/>
    <w:rsid w:val="001135FE"/>
    <w:rsid w:val="0011378B"/>
    <w:rsid w:val="0011493F"/>
    <w:rsid w:val="00116F90"/>
    <w:rsid w:val="00120A84"/>
    <w:rsid w:val="00121893"/>
    <w:rsid w:val="00122AF9"/>
    <w:rsid w:val="00123CC8"/>
    <w:rsid w:val="00123D59"/>
    <w:rsid w:val="00124A92"/>
    <w:rsid w:val="00124D0C"/>
    <w:rsid w:val="001255E0"/>
    <w:rsid w:val="00131DBB"/>
    <w:rsid w:val="001323E7"/>
    <w:rsid w:val="0013290F"/>
    <w:rsid w:val="0013461D"/>
    <w:rsid w:val="001355E8"/>
    <w:rsid w:val="00136C35"/>
    <w:rsid w:val="00136C7B"/>
    <w:rsid w:val="00136CB3"/>
    <w:rsid w:val="00136F22"/>
    <w:rsid w:val="001378A2"/>
    <w:rsid w:val="00137C97"/>
    <w:rsid w:val="001402CB"/>
    <w:rsid w:val="00140A7B"/>
    <w:rsid w:val="00143B11"/>
    <w:rsid w:val="00143DDC"/>
    <w:rsid w:val="00143E37"/>
    <w:rsid w:val="00144BA5"/>
    <w:rsid w:val="00145D3D"/>
    <w:rsid w:val="00145F25"/>
    <w:rsid w:val="001471B6"/>
    <w:rsid w:val="0014747E"/>
    <w:rsid w:val="00147B13"/>
    <w:rsid w:val="00151479"/>
    <w:rsid w:val="00151705"/>
    <w:rsid w:val="00151781"/>
    <w:rsid w:val="0015181E"/>
    <w:rsid w:val="0015269E"/>
    <w:rsid w:val="00152AE1"/>
    <w:rsid w:val="00152C4D"/>
    <w:rsid w:val="0015308F"/>
    <w:rsid w:val="001533EC"/>
    <w:rsid w:val="001536CF"/>
    <w:rsid w:val="0015396D"/>
    <w:rsid w:val="001547A7"/>
    <w:rsid w:val="00155A01"/>
    <w:rsid w:val="001562EF"/>
    <w:rsid w:val="001575DF"/>
    <w:rsid w:val="001575EE"/>
    <w:rsid w:val="00160F78"/>
    <w:rsid w:val="00161B29"/>
    <w:rsid w:val="0016525E"/>
    <w:rsid w:val="00165F15"/>
    <w:rsid w:val="0017012B"/>
    <w:rsid w:val="00170FC8"/>
    <w:rsid w:val="001710EF"/>
    <w:rsid w:val="0017458F"/>
    <w:rsid w:val="00174786"/>
    <w:rsid w:val="0017498C"/>
    <w:rsid w:val="0017635F"/>
    <w:rsid w:val="001765FC"/>
    <w:rsid w:val="001800DC"/>
    <w:rsid w:val="001804B8"/>
    <w:rsid w:val="001809D2"/>
    <w:rsid w:val="001820BE"/>
    <w:rsid w:val="001837A1"/>
    <w:rsid w:val="00183E72"/>
    <w:rsid w:val="001851F6"/>
    <w:rsid w:val="001929DE"/>
    <w:rsid w:val="00192C14"/>
    <w:rsid w:val="001933C6"/>
    <w:rsid w:val="00195ED8"/>
    <w:rsid w:val="00196D6C"/>
    <w:rsid w:val="0019762D"/>
    <w:rsid w:val="001A090C"/>
    <w:rsid w:val="001A0F85"/>
    <w:rsid w:val="001A1002"/>
    <w:rsid w:val="001A2CD9"/>
    <w:rsid w:val="001A32EE"/>
    <w:rsid w:val="001A36C7"/>
    <w:rsid w:val="001A3CD5"/>
    <w:rsid w:val="001A3D25"/>
    <w:rsid w:val="001A762F"/>
    <w:rsid w:val="001A7CA1"/>
    <w:rsid w:val="001B1777"/>
    <w:rsid w:val="001B27A0"/>
    <w:rsid w:val="001B468E"/>
    <w:rsid w:val="001B4B14"/>
    <w:rsid w:val="001B511E"/>
    <w:rsid w:val="001B5ADF"/>
    <w:rsid w:val="001B5B74"/>
    <w:rsid w:val="001B5EAF"/>
    <w:rsid w:val="001B6A74"/>
    <w:rsid w:val="001B7799"/>
    <w:rsid w:val="001B7E25"/>
    <w:rsid w:val="001C1E25"/>
    <w:rsid w:val="001C2022"/>
    <w:rsid w:val="001C3158"/>
    <w:rsid w:val="001C3666"/>
    <w:rsid w:val="001C6114"/>
    <w:rsid w:val="001C677E"/>
    <w:rsid w:val="001C6EBE"/>
    <w:rsid w:val="001C70A9"/>
    <w:rsid w:val="001C78D5"/>
    <w:rsid w:val="001C7E56"/>
    <w:rsid w:val="001D002C"/>
    <w:rsid w:val="001D0620"/>
    <w:rsid w:val="001D0687"/>
    <w:rsid w:val="001D1072"/>
    <w:rsid w:val="001D2B22"/>
    <w:rsid w:val="001D2BFA"/>
    <w:rsid w:val="001D3101"/>
    <w:rsid w:val="001D322D"/>
    <w:rsid w:val="001D39E7"/>
    <w:rsid w:val="001D3D2C"/>
    <w:rsid w:val="001D3F93"/>
    <w:rsid w:val="001D4AEF"/>
    <w:rsid w:val="001D7B23"/>
    <w:rsid w:val="001E01DF"/>
    <w:rsid w:val="001E0D59"/>
    <w:rsid w:val="001E12D6"/>
    <w:rsid w:val="001E1456"/>
    <w:rsid w:val="001E1647"/>
    <w:rsid w:val="001E28F6"/>
    <w:rsid w:val="001E2B42"/>
    <w:rsid w:val="001E5144"/>
    <w:rsid w:val="001E51C5"/>
    <w:rsid w:val="001E670E"/>
    <w:rsid w:val="001E75CD"/>
    <w:rsid w:val="001E7870"/>
    <w:rsid w:val="001F11DC"/>
    <w:rsid w:val="001F121C"/>
    <w:rsid w:val="001F2358"/>
    <w:rsid w:val="001F23F9"/>
    <w:rsid w:val="001F2744"/>
    <w:rsid w:val="001F3A54"/>
    <w:rsid w:val="001F3DCB"/>
    <w:rsid w:val="001F4A25"/>
    <w:rsid w:val="001F4E37"/>
    <w:rsid w:val="001F57C6"/>
    <w:rsid w:val="001F679C"/>
    <w:rsid w:val="001F691C"/>
    <w:rsid w:val="001F74C6"/>
    <w:rsid w:val="002006D5"/>
    <w:rsid w:val="00200D42"/>
    <w:rsid w:val="00202785"/>
    <w:rsid w:val="00204A61"/>
    <w:rsid w:val="0020619D"/>
    <w:rsid w:val="002076DF"/>
    <w:rsid w:val="00207DA3"/>
    <w:rsid w:val="0021079C"/>
    <w:rsid w:val="00210CA8"/>
    <w:rsid w:val="002110DB"/>
    <w:rsid w:val="002115DE"/>
    <w:rsid w:val="00211DE3"/>
    <w:rsid w:val="00213390"/>
    <w:rsid w:val="0021410D"/>
    <w:rsid w:val="00214B2D"/>
    <w:rsid w:val="002154FF"/>
    <w:rsid w:val="0021610B"/>
    <w:rsid w:val="0021699B"/>
    <w:rsid w:val="00216A81"/>
    <w:rsid w:val="00216CB6"/>
    <w:rsid w:val="00216D7D"/>
    <w:rsid w:val="002173CB"/>
    <w:rsid w:val="0021776D"/>
    <w:rsid w:val="00217ABF"/>
    <w:rsid w:val="00220330"/>
    <w:rsid w:val="00220A86"/>
    <w:rsid w:val="00221A60"/>
    <w:rsid w:val="00221CF1"/>
    <w:rsid w:val="00221ED8"/>
    <w:rsid w:val="002223CF"/>
    <w:rsid w:val="0022246A"/>
    <w:rsid w:val="00222F55"/>
    <w:rsid w:val="00223297"/>
    <w:rsid w:val="00223B48"/>
    <w:rsid w:val="0022405C"/>
    <w:rsid w:val="00224C27"/>
    <w:rsid w:val="00225AC5"/>
    <w:rsid w:val="00225FCE"/>
    <w:rsid w:val="0022731B"/>
    <w:rsid w:val="002274E5"/>
    <w:rsid w:val="00230436"/>
    <w:rsid w:val="0023073A"/>
    <w:rsid w:val="00232714"/>
    <w:rsid w:val="0023386F"/>
    <w:rsid w:val="0023449A"/>
    <w:rsid w:val="00234C75"/>
    <w:rsid w:val="00235572"/>
    <w:rsid w:val="0023575F"/>
    <w:rsid w:val="002370C0"/>
    <w:rsid w:val="0024036D"/>
    <w:rsid w:val="00240BFF"/>
    <w:rsid w:val="00240C22"/>
    <w:rsid w:val="00240D0A"/>
    <w:rsid w:val="0024106F"/>
    <w:rsid w:val="0024191B"/>
    <w:rsid w:val="00241BFB"/>
    <w:rsid w:val="00242595"/>
    <w:rsid w:val="00242C57"/>
    <w:rsid w:val="00243C41"/>
    <w:rsid w:val="00243D35"/>
    <w:rsid w:val="00244AEA"/>
    <w:rsid w:val="00244D09"/>
    <w:rsid w:val="0024588D"/>
    <w:rsid w:val="0024656E"/>
    <w:rsid w:val="00247253"/>
    <w:rsid w:val="002475BA"/>
    <w:rsid w:val="00247A14"/>
    <w:rsid w:val="00250031"/>
    <w:rsid w:val="002514FB"/>
    <w:rsid w:val="00254951"/>
    <w:rsid w:val="00254BAB"/>
    <w:rsid w:val="00254E3E"/>
    <w:rsid w:val="00255407"/>
    <w:rsid w:val="00255560"/>
    <w:rsid w:val="00255750"/>
    <w:rsid w:val="002575BC"/>
    <w:rsid w:val="00257689"/>
    <w:rsid w:val="00257A40"/>
    <w:rsid w:val="00260398"/>
    <w:rsid w:val="0026040C"/>
    <w:rsid w:val="002626AB"/>
    <w:rsid w:val="002632FA"/>
    <w:rsid w:val="00263455"/>
    <w:rsid w:val="002649CD"/>
    <w:rsid w:val="00266287"/>
    <w:rsid w:val="00266749"/>
    <w:rsid w:val="002667DE"/>
    <w:rsid w:val="002669C3"/>
    <w:rsid w:val="002678CA"/>
    <w:rsid w:val="00267A35"/>
    <w:rsid w:val="00270BFD"/>
    <w:rsid w:val="0027211E"/>
    <w:rsid w:val="00275B40"/>
    <w:rsid w:val="00275CE5"/>
    <w:rsid w:val="002767CE"/>
    <w:rsid w:val="00276CD5"/>
    <w:rsid w:val="00277240"/>
    <w:rsid w:val="00280560"/>
    <w:rsid w:val="002806F7"/>
    <w:rsid w:val="00281833"/>
    <w:rsid w:val="00283DE2"/>
    <w:rsid w:val="00284752"/>
    <w:rsid w:val="00284E7A"/>
    <w:rsid w:val="00286F02"/>
    <w:rsid w:val="0029075F"/>
    <w:rsid w:val="00291BD0"/>
    <w:rsid w:val="00292787"/>
    <w:rsid w:val="00293037"/>
    <w:rsid w:val="00293AAC"/>
    <w:rsid w:val="00294CFB"/>
    <w:rsid w:val="00296098"/>
    <w:rsid w:val="002970BC"/>
    <w:rsid w:val="002977AC"/>
    <w:rsid w:val="00297DAB"/>
    <w:rsid w:val="002A056E"/>
    <w:rsid w:val="002A1227"/>
    <w:rsid w:val="002A153E"/>
    <w:rsid w:val="002A1602"/>
    <w:rsid w:val="002A181C"/>
    <w:rsid w:val="002B0279"/>
    <w:rsid w:val="002B0B60"/>
    <w:rsid w:val="002B21CD"/>
    <w:rsid w:val="002B2E9C"/>
    <w:rsid w:val="002B408A"/>
    <w:rsid w:val="002B4358"/>
    <w:rsid w:val="002B59C8"/>
    <w:rsid w:val="002B5BBC"/>
    <w:rsid w:val="002B6D87"/>
    <w:rsid w:val="002B6D9E"/>
    <w:rsid w:val="002B6F8E"/>
    <w:rsid w:val="002B6FBB"/>
    <w:rsid w:val="002B7837"/>
    <w:rsid w:val="002B7994"/>
    <w:rsid w:val="002C0B20"/>
    <w:rsid w:val="002C0C27"/>
    <w:rsid w:val="002C1514"/>
    <w:rsid w:val="002C1706"/>
    <w:rsid w:val="002C181A"/>
    <w:rsid w:val="002C1DC7"/>
    <w:rsid w:val="002C203F"/>
    <w:rsid w:val="002C239F"/>
    <w:rsid w:val="002C3479"/>
    <w:rsid w:val="002C3589"/>
    <w:rsid w:val="002C3725"/>
    <w:rsid w:val="002C4BB1"/>
    <w:rsid w:val="002C5122"/>
    <w:rsid w:val="002C6646"/>
    <w:rsid w:val="002C6B04"/>
    <w:rsid w:val="002D0291"/>
    <w:rsid w:val="002D2740"/>
    <w:rsid w:val="002D27D0"/>
    <w:rsid w:val="002D3119"/>
    <w:rsid w:val="002D4A3D"/>
    <w:rsid w:val="002D4B94"/>
    <w:rsid w:val="002D5736"/>
    <w:rsid w:val="002D7132"/>
    <w:rsid w:val="002D738B"/>
    <w:rsid w:val="002E0DFC"/>
    <w:rsid w:val="002E1695"/>
    <w:rsid w:val="002E31D0"/>
    <w:rsid w:val="002E416B"/>
    <w:rsid w:val="002E429B"/>
    <w:rsid w:val="002E464F"/>
    <w:rsid w:val="002E55CA"/>
    <w:rsid w:val="002E5A85"/>
    <w:rsid w:val="002E6102"/>
    <w:rsid w:val="002E61DA"/>
    <w:rsid w:val="002E61F0"/>
    <w:rsid w:val="002E767E"/>
    <w:rsid w:val="002E77CD"/>
    <w:rsid w:val="002F0183"/>
    <w:rsid w:val="002F05C0"/>
    <w:rsid w:val="002F09D0"/>
    <w:rsid w:val="002F2337"/>
    <w:rsid w:val="002F3F43"/>
    <w:rsid w:val="002F534C"/>
    <w:rsid w:val="002F6423"/>
    <w:rsid w:val="002F6DE5"/>
    <w:rsid w:val="003019B4"/>
    <w:rsid w:val="0030277E"/>
    <w:rsid w:val="00302C09"/>
    <w:rsid w:val="00304BD0"/>
    <w:rsid w:val="003065D4"/>
    <w:rsid w:val="003066A7"/>
    <w:rsid w:val="00307709"/>
    <w:rsid w:val="00310097"/>
    <w:rsid w:val="0031021A"/>
    <w:rsid w:val="00310246"/>
    <w:rsid w:val="00310703"/>
    <w:rsid w:val="00310AD8"/>
    <w:rsid w:val="003115C9"/>
    <w:rsid w:val="00313648"/>
    <w:rsid w:val="00313EC0"/>
    <w:rsid w:val="003140B4"/>
    <w:rsid w:val="003145A4"/>
    <w:rsid w:val="00315739"/>
    <w:rsid w:val="003159CE"/>
    <w:rsid w:val="00316F33"/>
    <w:rsid w:val="003202DB"/>
    <w:rsid w:val="003203D2"/>
    <w:rsid w:val="00320722"/>
    <w:rsid w:val="00322374"/>
    <w:rsid w:val="0032238A"/>
    <w:rsid w:val="00322601"/>
    <w:rsid w:val="003233AA"/>
    <w:rsid w:val="003234F3"/>
    <w:rsid w:val="003235DA"/>
    <w:rsid w:val="00323648"/>
    <w:rsid w:val="00323A9A"/>
    <w:rsid w:val="00324085"/>
    <w:rsid w:val="00325F4F"/>
    <w:rsid w:val="003265C1"/>
    <w:rsid w:val="00327ACB"/>
    <w:rsid w:val="003307CD"/>
    <w:rsid w:val="00331B49"/>
    <w:rsid w:val="00332048"/>
    <w:rsid w:val="00332980"/>
    <w:rsid w:val="00335779"/>
    <w:rsid w:val="003362D3"/>
    <w:rsid w:val="0033655E"/>
    <w:rsid w:val="00337476"/>
    <w:rsid w:val="00337EA8"/>
    <w:rsid w:val="00340044"/>
    <w:rsid w:val="0034011E"/>
    <w:rsid w:val="0034017C"/>
    <w:rsid w:val="00342B75"/>
    <w:rsid w:val="00343207"/>
    <w:rsid w:val="00343AF8"/>
    <w:rsid w:val="00345ADA"/>
    <w:rsid w:val="003475DB"/>
    <w:rsid w:val="0035336D"/>
    <w:rsid w:val="00354BB4"/>
    <w:rsid w:val="00354F1F"/>
    <w:rsid w:val="0035714C"/>
    <w:rsid w:val="0035783F"/>
    <w:rsid w:val="00357C35"/>
    <w:rsid w:val="00360305"/>
    <w:rsid w:val="00362707"/>
    <w:rsid w:val="00362F13"/>
    <w:rsid w:val="003632E1"/>
    <w:rsid w:val="003636DC"/>
    <w:rsid w:val="00363918"/>
    <w:rsid w:val="00363A27"/>
    <w:rsid w:val="003640B2"/>
    <w:rsid w:val="00365FAA"/>
    <w:rsid w:val="003667BF"/>
    <w:rsid w:val="0037009A"/>
    <w:rsid w:val="003706DE"/>
    <w:rsid w:val="00371581"/>
    <w:rsid w:val="003715A5"/>
    <w:rsid w:val="0037184A"/>
    <w:rsid w:val="00373902"/>
    <w:rsid w:val="00373FAB"/>
    <w:rsid w:val="00374E23"/>
    <w:rsid w:val="00375AB4"/>
    <w:rsid w:val="00375BB8"/>
    <w:rsid w:val="003764AD"/>
    <w:rsid w:val="003775B1"/>
    <w:rsid w:val="0037768C"/>
    <w:rsid w:val="00377785"/>
    <w:rsid w:val="00380F9D"/>
    <w:rsid w:val="00381FD6"/>
    <w:rsid w:val="00382641"/>
    <w:rsid w:val="00382A28"/>
    <w:rsid w:val="00383330"/>
    <w:rsid w:val="003834A2"/>
    <w:rsid w:val="00383923"/>
    <w:rsid w:val="00383AFC"/>
    <w:rsid w:val="003851F1"/>
    <w:rsid w:val="0038645D"/>
    <w:rsid w:val="00386641"/>
    <w:rsid w:val="00387F72"/>
    <w:rsid w:val="00392B31"/>
    <w:rsid w:val="00392B88"/>
    <w:rsid w:val="00392CBC"/>
    <w:rsid w:val="003936AC"/>
    <w:rsid w:val="0039372B"/>
    <w:rsid w:val="003940C7"/>
    <w:rsid w:val="00395E0B"/>
    <w:rsid w:val="00396BC1"/>
    <w:rsid w:val="00397ECB"/>
    <w:rsid w:val="003A0054"/>
    <w:rsid w:val="003A0BA2"/>
    <w:rsid w:val="003A0CEF"/>
    <w:rsid w:val="003A186C"/>
    <w:rsid w:val="003A24FC"/>
    <w:rsid w:val="003A2705"/>
    <w:rsid w:val="003A2BC6"/>
    <w:rsid w:val="003A335B"/>
    <w:rsid w:val="003A3451"/>
    <w:rsid w:val="003A37AA"/>
    <w:rsid w:val="003A3E4C"/>
    <w:rsid w:val="003A4C52"/>
    <w:rsid w:val="003A59C1"/>
    <w:rsid w:val="003A5BFA"/>
    <w:rsid w:val="003A7749"/>
    <w:rsid w:val="003B05A9"/>
    <w:rsid w:val="003B0688"/>
    <w:rsid w:val="003B0918"/>
    <w:rsid w:val="003B2866"/>
    <w:rsid w:val="003B32EA"/>
    <w:rsid w:val="003B446A"/>
    <w:rsid w:val="003B59B1"/>
    <w:rsid w:val="003B61E4"/>
    <w:rsid w:val="003B7051"/>
    <w:rsid w:val="003B7076"/>
    <w:rsid w:val="003C0114"/>
    <w:rsid w:val="003C0168"/>
    <w:rsid w:val="003C1A4E"/>
    <w:rsid w:val="003C27F3"/>
    <w:rsid w:val="003C2A27"/>
    <w:rsid w:val="003C35FF"/>
    <w:rsid w:val="003C4FF7"/>
    <w:rsid w:val="003C5BE2"/>
    <w:rsid w:val="003C6808"/>
    <w:rsid w:val="003C6E13"/>
    <w:rsid w:val="003C6F02"/>
    <w:rsid w:val="003D120E"/>
    <w:rsid w:val="003D3EDB"/>
    <w:rsid w:val="003D5424"/>
    <w:rsid w:val="003D6A54"/>
    <w:rsid w:val="003D7286"/>
    <w:rsid w:val="003D7780"/>
    <w:rsid w:val="003D79DE"/>
    <w:rsid w:val="003E0444"/>
    <w:rsid w:val="003E06A1"/>
    <w:rsid w:val="003E0C48"/>
    <w:rsid w:val="003E13D7"/>
    <w:rsid w:val="003E4CA5"/>
    <w:rsid w:val="003E50BD"/>
    <w:rsid w:val="003E58F6"/>
    <w:rsid w:val="003E6F05"/>
    <w:rsid w:val="003E7079"/>
    <w:rsid w:val="003E7751"/>
    <w:rsid w:val="003E7B2E"/>
    <w:rsid w:val="003F0986"/>
    <w:rsid w:val="003F278D"/>
    <w:rsid w:val="003F2855"/>
    <w:rsid w:val="003F2B8D"/>
    <w:rsid w:val="003F41CF"/>
    <w:rsid w:val="003F4F0D"/>
    <w:rsid w:val="003F5771"/>
    <w:rsid w:val="003F6A00"/>
    <w:rsid w:val="003F6F59"/>
    <w:rsid w:val="004000BB"/>
    <w:rsid w:val="004001BC"/>
    <w:rsid w:val="00401B52"/>
    <w:rsid w:val="00402E9F"/>
    <w:rsid w:val="00402F39"/>
    <w:rsid w:val="004032A8"/>
    <w:rsid w:val="0040351E"/>
    <w:rsid w:val="004038F2"/>
    <w:rsid w:val="004046B2"/>
    <w:rsid w:val="00404CEC"/>
    <w:rsid w:val="00405A6A"/>
    <w:rsid w:val="00405C3C"/>
    <w:rsid w:val="00407312"/>
    <w:rsid w:val="00407786"/>
    <w:rsid w:val="00411287"/>
    <w:rsid w:val="0041233E"/>
    <w:rsid w:val="004130C3"/>
    <w:rsid w:val="004144D6"/>
    <w:rsid w:val="004200AD"/>
    <w:rsid w:val="004219AF"/>
    <w:rsid w:val="004224DA"/>
    <w:rsid w:val="00423529"/>
    <w:rsid w:val="004243CF"/>
    <w:rsid w:val="00424569"/>
    <w:rsid w:val="00424F70"/>
    <w:rsid w:val="00426EE0"/>
    <w:rsid w:val="0042796D"/>
    <w:rsid w:val="00427B05"/>
    <w:rsid w:val="004304CD"/>
    <w:rsid w:val="00431046"/>
    <w:rsid w:val="00431269"/>
    <w:rsid w:val="004320A6"/>
    <w:rsid w:val="00433353"/>
    <w:rsid w:val="0043358A"/>
    <w:rsid w:val="004339B5"/>
    <w:rsid w:val="00433D05"/>
    <w:rsid w:val="0043477E"/>
    <w:rsid w:val="00434DEE"/>
    <w:rsid w:val="00435E16"/>
    <w:rsid w:val="00435E73"/>
    <w:rsid w:val="004360BF"/>
    <w:rsid w:val="00437604"/>
    <w:rsid w:val="004402D8"/>
    <w:rsid w:val="00440D1E"/>
    <w:rsid w:val="0044309F"/>
    <w:rsid w:val="004433F1"/>
    <w:rsid w:val="0044376A"/>
    <w:rsid w:val="00443F3F"/>
    <w:rsid w:val="004445CA"/>
    <w:rsid w:val="00444CAC"/>
    <w:rsid w:val="0044506A"/>
    <w:rsid w:val="004466EC"/>
    <w:rsid w:val="004519D4"/>
    <w:rsid w:val="00451E35"/>
    <w:rsid w:val="00451F6B"/>
    <w:rsid w:val="00452C0A"/>
    <w:rsid w:val="004531E5"/>
    <w:rsid w:val="00453D69"/>
    <w:rsid w:val="004540C3"/>
    <w:rsid w:val="00454517"/>
    <w:rsid w:val="00454622"/>
    <w:rsid w:val="00454844"/>
    <w:rsid w:val="0045625E"/>
    <w:rsid w:val="00456A8A"/>
    <w:rsid w:val="00456F8D"/>
    <w:rsid w:val="0045773F"/>
    <w:rsid w:val="004601D7"/>
    <w:rsid w:val="00460B5B"/>
    <w:rsid w:val="0046185E"/>
    <w:rsid w:val="00461937"/>
    <w:rsid w:val="00461A2E"/>
    <w:rsid w:val="00461F53"/>
    <w:rsid w:val="00462839"/>
    <w:rsid w:val="0046361B"/>
    <w:rsid w:val="004642B0"/>
    <w:rsid w:val="00464E9E"/>
    <w:rsid w:val="004654EC"/>
    <w:rsid w:val="00465928"/>
    <w:rsid w:val="00465E4F"/>
    <w:rsid w:val="0046752A"/>
    <w:rsid w:val="00471101"/>
    <w:rsid w:val="0047128E"/>
    <w:rsid w:val="0047205F"/>
    <w:rsid w:val="004724D5"/>
    <w:rsid w:val="00473BC4"/>
    <w:rsid w:val="00473F2D"/>
    <w:rsid w:val="004756FF"/>
    <w:rsid w:val="00476FBF"/>
    <w:rsid w:val="00481636"/>
    <w:rsid w:val="00481B9E"/>
    <w:rsid w:val="00481E9C"/>
    <w:rsid w:val="00485D10"/>
    <w:rsid w:val="00486336"/>
    <w:rsid w:val="00486345"/>
    <w:rsid w:val="00490556"/>
    <w:rsid w:val="00490E63"/>
    <w:rsid w:val="004911B5"/>
    <w:rsid w:val="00491633"/>
    <w:rsid w:val="00492F7A"/>
    <w:rsid w:val="004931BB"/>
    <w:rsid w:val="00493418"/>
    <w:rsid w:val="00493687"/>
    <w:rsid w:val="00493CAB"/>
    <w:rsid w:val="004945D8"/>
    <w:rsid w:val="00494BA7"/>
    <w:rsid w:val="004959C4"/>
    <w:rsid w:val="00495C6D"/>
    <w:rsid w:val="00496346"/>
    <w:rsid w:val="0049664F"/>
    <w:rsid w:val="00497904"/>
    <w:rsid w:val="00497C9A"/>
    <w:rsid w:val="004A0CDC"/>
    <w:rsid w:val="004A0DFF"/>
    <w:rsid w:val="004A1DA4"/>
    <w:rsid w:val="004A2C49"/>
    <w:rsid w:val="004A4C84"/>
    <w:rsid w:val="004A4EF6"/>
    <w:rsid w:val="004A530C"/>
    <w:rsid w:val="004A63C4"/>
    <w:rsid w:val="004A7881"/>
    <w:rsid w:val="004B0720"/>
    <w:rsid w:val="004B0842"/>
    <w:rsid w:val="004B0F81"/>
    <w:rsid w:val="004B10B0"/>
    <w:rsid w:val="004B147B"/>
    <w:rsid w:val="004B15B8"/>
    <w:rsid w:val="004B1965"/>
    <w:rsid w:val="004B3DF8"/>
    <w:rsid w:val="004B480C"/>
    <w:rsid w:val="004B6380"/>
    <w:rsid w:val="004B7662"/>
    <w:rsid w:val="004C1638"/>
    <w:rsid w:val="004C1713"/>
    <w:rsid w:val="004C1761"/>
    <w:rsid w:val="004C1793"/>
    <w:rsid w:val="004C1FDF"/>
    <w:rsid w:val="004C22FD"/>
    <w:rsid w:val="004C28E6"/>
    <w:rsid w:val="004C3FF3"/>
    <w:rsid w:val="004C43C7"/>
    <w:rsid w:val="004C5FD1"/>
    <w:rsid w:val="004C6BDD"/>
    <w:rsid w:val="004C75AA"/>
    <w:rsid w:val="004C7D92"/>
    <w:rsid w:val="004C7EF6"/>
    <w:rsid w:val="004D174C"/>
    <w:rsid w:val="004D35F9"/>
    <w:rsid w:val="004D3747"/>
    <w:rsid w:val="004D4069"/>
    <w:rsid w:val="004D46F8"/>
    <w:rsid w:val="004D498A"/>
    <w:rsid w:val="004D4D8B"/>
    <w:rsid w:val="004D5716"/>
    <w:rsid w:val="004D74D5"/>
    <w:rsid w:val="004D799A"/>
    <w:rsid w:val="004D7F69"/>
    <w:rsid w:val="004D7F6F"/>
    <w:rsid w:val="004E088A"/>
    <w:rsid w:val="004E1D7F"/>
    <w:rsid w:val="004E20E5"/>
    <w:rsid w:val="004E21FA"/>
    <w:rsid w:val="004E2515"/>
    <w:rsid w:val="004E2C7F"/>
    <w:rsid w:val="004E37A9"/>
    <w:rsid w:val="004E3C65"/>
    <w:rsid w:val="004E40E0"/>
    <w:rsid w:val="004E4388"/>
    <w:rsid w:val="004E4E14"/>
    <w:rsid w:val="004E5148"/>
    <w:rsid w:val="004E5676"/>
    <w:rsid w:val="004E66EB"/>
    <w:rsid w:val="004E6A8F"/>
    <w:rsid w:val="004E6BB8"/>
    <w:rsid w:val="004E7170"/>
    <w:rsid w:val="004E76FB"/>
    <w:rsid w:val="004F14AE"/>
    <w:rsid w:val="004F1987"/>
    <w:rsid w:val="004F22EF"/>
    <w:rsid w:val="004F26B2"/>
    <w:rsid w:val="004F27E2"/>
    <w:rsid w:val="004F2A9F"/>
    <w:rsid w:val="004F3968"/>
    <w:rsid w:val="004F40A0"/>
    <w:rsid w:val="004F4FD5"/>
    <w:rsid w:val="004F6AFD"/>
    <w:rsid w:val="004F7316"/>
    <w:rsid w:val="004F78ED"/>
    <w:rsid w:val="004F7E97"/>
    <w:rsid w:val="005041AB"/>
    <w:rsid w:val="0050458D"/>
    <w:rsid w:val="005051C1"/>
    <w:rsid w:val="0050539C"/>
    <w:rsid w:val="00505688"/>
    <w:rsid w:val="005075F0"/>
    <w:rsid w:val="00507812"/>
    <w:rsid w:val="00507D5D"/>
    <w:rsid w:val="00511744"/>
    <w:rsid w:val="00513252"/>
    <w:rsid w:val="00513495"/>
    <w:rsid w:val="00513745"/>
    <w:rsid w:val="00514489"/>
    <w:rsid w:val="00514E4A"/>
    <w:rsid w:val="00515132"/>
    <w:rsid w:val="00515693"/>
    <w:rsid w:val="00516EF5"/>
    <w:rsid w:val="005172CE"/>
    <w:rsid w:val="005201A7"/>
    <w:rsid w:val="00520CA1"/>
    <w:rsid w:val="005223F2"/>
    <w:rsid w:val="00522C0E"/>
    <w:rsid w:val="00522CD0"/>
    <w:rsid w:val="00524A88"/>
    <w:rsid w:val="00525655"/>
    <w:rsid w:val="00525669"/>
    <w:rsid w:val="00525D54"/>
    <w:rsid w:val="00526331"/>
    <w:rsid w:val="005267B8"/>
    <w:rsid w:val="00527986"/>
    <w:rsid w:val="005300B4"/>
    <w:rsid w:val="00530106"/>
    <w:rsid w:val="005305C1"/>
    <w:rsid w:val="00530AED"/>
    <w:rsid w:val="00532348"/>
    <w:rsid w:val="0053270D"/>
    <w:rsid w:val="00534563"/>
    <w:rsid w:val="00534F58"/>
    <w:rsid w:val="005356E0"/>
    <w:rsid w:val="00535C8E"/>
    <w:rsid w:val="005369B2"/>
    <w:rsid w:val="00536F59"/>
    <w:rsid w:val="0053754C"/>
    <w:rsid w:val="005379F4"/>
    <w:rsid w:val="00541629"/>
    <w:rsid w:val="00541634"/>
    <w:rsid w:val="0054211F"/>
    <w:rsid w:val="00542338"/>
    <w:rsid w:val="0054246F"/>
    <w:rsid w:val="00543C36"/>
    <w:rsid w:val="00544396"/>
    <w:rsid w:val="0054580F"/>
    <w:rsid w:val="00545861"/>
    <w:rsid w:val="00545B6B"/>
    <w:rsid w:val="00546837"/>
    <w:rsid w:val="005525DD"/>
    <w:rsid w:val="00552702"/>
    <w:rsid w:val="00553F17"/>
    <w:rsid w:val="00553F6F"/>
    <w:rsid w:val="005543C0"/>
    <w:rsid w:val="005546C6"/>
    <w:rsid w:val="00554881"/>
    <w:rsid w:val="00560460"/>
    <w:rsid w:val="00561192"/>
    <w:rsid w:val="00562033"/>
    <w:rsid w:val="0056464E"/>
    <w:rsid w:val="0056479E"/>
    <w:rsid w:val="005650E2"/>
    <w:rsid w:val="00570E41"/>
    <w:rsid w:val="0057165A"/>
    <w:rsid w:val="00571A8D"/>
    <w:rsid w:val="00571A8F"/>
    <w:rsid w:val="00572F5F"/>
    <w:rsid w:val="00573C4D"/>
    <w:rsid w:val="00574101"/>
    <w:rsid w:val="0057496E"/>
    <w:rsid w:val="00575025"/>
    <w:rsid w:val="00575185"/>
    <w:rsid w:val="00575362"/>
    <w:rsid w:val="005756A6"/>
    <w:rsid w:val="00575708"/>
    <w:rsid w:val="00575A5D"/>
    <w:rsid w:val="0057632D"/>
    <w:rsid w:val="005763BE"/>
    <w:rsid w:val="005779E5"/>
    <w:rsid w:val="00580A13"/>
    <w:rsid w:val="00580D42"/>
    <w:rsid w:val="0058300A"/>
    <w:rsid w:val="00583D7A"/>
    <w:rsid w:val="005846DD"/>
    <w:rsid w:val="00585CE9"/>
    <w:rsid w:val="00587175"/>
    <w:rsid w:val="00587632"/>
    <w:rsid w:val="005878C8"/>
    <w:rsid w:val="00587A80"/>
    <w:rsid w:val="005903E2"/>
    <w:rsid w:val="00590A97"/>
    <w:rsid w:val="005910AE"/>
    <w:rsid w:val="00592277"/>
    <w:rsid w:val="00592B2E"/>
    <w:rsid w:val="0059314B"/>
    <w:rsid w:val="00593EEA"/>
    <w:rsid w:val="00593FDB"/>
    <w:rsid w:val="00594760"/>
    <w:rsid w:val="005958D0"/>
    <w:rsid w:val="00596F4D"/>
    <w:rsid w:val="00597CCD"/>
    <w:rsid w:val="005A0462"/>
    <w:rsid w:val="005A04E9"/>
    <w:rsid w:val="005A0B49"/>
    <w:rsid w:val="005A0E60"/>
    <w:rsid w:val="005A1C2A"/>
    <w:rsid w:val="005A1CA1"/>
    <w:rsid w:val="005A3F02"/>
    <w:rsid w:val="005A4A90"/>
    <w:rsid w:val="005A5BFA"/>
    <w:rsid w:val="005A5E9C"/>
    <w:rsid w:val="005A7745"/>
    <w:rsid w:val="005B1240"/>
    <w:rsid w:val="005B13F7"/>
    <w:rsid w:val="005B1466"/>
    <w:rsid w:val="005B1CAE"/>
    <w:rsid w:val="005B2552"/>
    <w:rsid w:val="005B2DFF"/>
    <w:rsid w:val="005B326E"/>
    <w:rsid w:val="005B4E65"/>
    <w:rsid w:val="005B5FA2"/>
    <w:rsid w:val="005B679B"/>
    <w:rsid w:val="005B77BB"/>
    <w:rsid w:val="005C0043"/>
    <w:rsid w:val="005C0B68"/>
    <w:rsid w:val="005C42A2"/>
    <w:rsid w:val="005C4373"/>
    <w:rsid w:val="005C4CFE"/>
    <w:rsid w:val="005C68BC"/>
    <w:rsid w:val="005C6960"/>
    <w:rsid w:val="005C6F28"/>
    <w:rsid w:val="005D17B4"/>
    <w:rsid w:val="005D3E1E"/>
    <w:rsid w:val="005D425C"/>
    <w:rsid w:val="005D42A6"/>
    <w:rsid w:val="005D438D"/>
    <w:rsid w:val="005D58E5"/>
    <w:rsid w:val="005D59EF"/>
    <w:rsid w:val="005E059A"/>
    <w:rsid w:val="005E06E9"/>
    <w:rsid w:val="005E0A94"/>
    <w:rsid w:val="005E1639"/>
    <w:rsid w:val="005E1C51"/>
    <w:rsid w:val="005E3136"/>
    <w:rsid w:val="005E355D"/>
    <w:rsid w:val="005E547F"/>
    <w:rsid w:val="005E5669"/>
    <w:rsid w:val="005E602E"/>
    <w:rsid w:val="005E6CA6"/>
    <w:rsid w:val="005F02E8"/>
    <w:rsid w:val="005F04D7"/>
    <w:rsid w:val="005F2A7D"/>
    <w:rsid w:val="005F3DB3"/>
    <w:rsid w:val="005F6984"/>
    <w:rsid w:val="005F6BD9"/>
    <w:rsid w:val="005F74A7"/>
    <w:rsid w:val="00600BEF"/>
    <w:rsid w:val="00602688"/>
    <w:rsid w:val="0060287C"/>
    <w:rsid w:val="006029E9"/>
    <w:rsid w:val="00602D77"/>
    <w:rsid w:val="0060385D"/>
    <w:rsid w:val="00603D68"/>
    <w:rsid w:val="00603E65"/>
    <w:rsid w:val="00604554"/>
    <w:rsid w:val="00604E41"/>
    <w:rsid w:val="0060517A"/>
    <w:rsid w:val="006064AB"/>
    <w:rsid w:val="006064E5"/>
    <w:rsid w:val="00606882"/>
    <w:rsid w:val="00607032"/>
    <w:rsid w:val="00607095"/>
    <w:rsid w:val="00607221"/>
    <w:rsid w:val="00610B44"/>
    <w:rsid w:val="00611FA5"/>
    <w:rsid w:val="006124BA"/>
    <w:rsid w:val="00612A14"/>
    <w:rsid w:val="00612BA7"/>
    <w:rsid w:val="00612C88"/>
    <w:rsid w:val="006131A9"/>
    <w:rsid w:val="00613BC8"/>
    <w:rsid w:val="00613D4B"/>
    <w:rsid w:val="00614845"/>
    <w:rsid w:val="00615A7D"/>
    <w:rsid w:val="00616C77"/>
    <w:rsid w:val="006174CE"/>
    <w:rsid w:val="00617D2D"/>
    <w:rsid w:val="00620154"/>
    <w:rsid w:val="006205E3"/>
    <w:rsid w:val="00620D12"/>
    <w:rsid w:val="0062122C"/>
    <w:rsid w:val="0062150F"/>
    <w:rsid w:val="00621EBA"/>
    <w:rsid w:val="0062241A"/>
    <w:rsid w:val="00622CC1"/>
    <w:rsid w:val="00624988"/>
    <w:rsid w:val="006263A0"/>
    <w:rsid w:val="0063026A"/>
    <w:rsid w:val="006304DF"/>
    <w:rsid w:val="00631F7C"/>
    <w:rsid w:val="006324BE"/>
    <w:rsid w:val="00632B94"/>
    <w:rsid w:val="00633F58"/>
    <w:rsid w:val="00635580"/>
    <w:rsid w:val="0063585C"/>
    <w:rsid w:val="00635987"/>
    <w:rsid w:val="0063611B"/>
    <w:rsid w:val="006418EE"/>
    <w:rsid w:val="006422EF"/>
    <w:rsid w:val="006426A1"/>
    <w:rsid w:val="00642BE1"/>
    <w:rsid w:val="00643687"/>
    <w:rsid w:val="00644425"/>
    <w:rsid w:val="006478C9"/>
    <w:rsid w:val="0064798F"/>
    <w:rsid w:val="006519A9"/>
    <w:rsid w:val="006520C5"/>
    <w:rsid w:val="00653C1C"/>
    <w:rsid w:val="0065477F"/>
    <w:rsid w:val="00654A09"/>
    <w:rsid w:val="0065586C"/>
    <w:rsid w:val="006569AF"/>
    <w:rsid w:val="00657DBE"/>
    <w:rsid w:val="00662BC1"/>
    <w:rsid w:val="0066334F"/>
    <w:rsid w:val="00663965"/>
    <w:rsid w:val="0066531E"/>
    <w:rsid w:val="00666B9E"/>
    <w:rsid w:val="00671E0F"/>
    <w:rsid w:val="00672F17"/>
    <w:rsid w:val="00672FDC"/>
    <w:rsid w:val="00673520"/>
    <w:rsid w:val="0067374A"/>
    <w:rsid w:val="00673C1C"/>
    <w:rsid w:val="00674237"/>
    <w:rsid w:val="0067653E"/>
    <w:rsid w:val="00677EA8"/>
    <w:rsid w:val="006800FD"/>
    <w:rsid w:val="00680941"/>
    <w:rsid w:val="00680CE9"/>
    <w:rsid w:val="006820FF"/>
    <w:rsid w:val="00682FC1"/>
    <w:rsid w:val="006835F2"/>
    <w:rsid w:val="006838D4"/>
    <w:rsid w:val="006838D6"/>
    <w:rsid w:val="00683A3B"/>
    <w:rsid w:val="00683FFC"/>
    <w:rsid w:val="006853EF"/>
    <w:rsid w:val="006868A7"/>
    <w:rsid w:val="0068756D"/>
    <w:rsid w:val="0069024A"/>
    <w:rsid w:val="00690A10"/>
    <w:rsid w:val="006941CB"/>
    <w:rsid w:val="00694809"/>
    <w:rsid w:val="006948D5"/>
    <w:rsid w:val="00695A62"/>
    <w:rsid w:val="0069760D"/>
    <w:rsid w:val="00697BC4"/>
    <w:rsid w:val="006A1089"/>
    <w:rsid w:val="006A16F2"/>
    <w:rsid w:val="006A1BCD"/>
    <w:rsid w:val="006A3880"/>
    <w:rsid w:val="006A3BB8"/>
    <w:rsid w:val="006A43F2"/>
    <w:rsid w:val="006A480D"/>
    <w:rsid w:val="006A56BF"/>
    <w:rsid w:val="006A6653"/>
    <w:rsid w:val="006A6BA2"/>
    <w:rsid w:val="006A7C25"/>
    <w:rsid w:val="006B100D"/>
    <w:rsid w:val="006B1236"/>
    <w:rsid w:val="006B1447"/>
    <w:rsid w:val="006B14B4"/>
    <w:rsid w:val="006B2FD7"/>
    <w:rsid w:val="006B3024"/>
    <w:rsid w:val="006B30B7"/>
    <w:rsid w:val="006B37B7"/>
    <w:rsid w:val="006B6718"/>
    <w:rsid w:val="006B688E"/>
    <w:rsid w:val="006B787D"/>
    <w:rsid w:val="006C05EF"/>
    <w:rsid w:val="006C0C7B"/>
    <w:rsid w:val="006C10C4"/>
    <w:rsid w:val="006C168E"/>
    <w:rsid w:val="006C21FD"/>
    <w:rsid w:val="006C2B36"/>
    <w:rsid w:val="006C2E27"/>
    <w:rsid w:val="006C3320"/>
    <w:rsid w:val="006C389D"/>
    <w:rsid w:val="006C393D"/>
    <w:rsid w:val="006C40EA"/>
    <w:rsid w:val="006C456B"/>
    <w:rsid w:val="006C4981"/>
    <w:rsid w:val="006C655C"/>
    <w:rsid w:val="006D00AB"/>
    <w:rsid w:val="006D03FF"/>
    <w:rsid w:val="006D0475"/>
    <w:rsid w:val="006D1D65"/>
    <w:rsid w:val="006D2186"/>
    <w:rsid w:val="006D40DE"/>
    <w:rsid w:val="006D4404"/>
    <w:rsid w:val="006D47EA"/>
    <w:rsid w:val="006D488A"/>
    <w:rsid w:val="006D5C4C"/>
    <w:rsid w:val="006D5CA8"/>
    <w:rsid w:val="006D63DB"/>
    <w:rsid w:val="006D6B66"/>
    <w:rsid w:val="006D7EB6"/>
    <w:rsid w:val="006E182A"/>
    <w:rsid w:val="006E21E3"/>
    <w:rsid w:val="006E34F7"/>
    <w:rsid w:val="006E4A07"/>
    <w:rsid w:val="006E4D15"/>
    <w:rsid w:val="006E5A0C"/>
    <w:rsid w:val="006E5AF5"/>
    <w:rsid w:val="006E669F"/>
    <w:rsid w:val="006E793C"/>
    <w:rsid w:val="006E7AA6"/>
    <w:rsid w:val="006F0783"/>
    <w:rsid w:val="006F0817"/>
    <w:rsid w:val="006F2372"/>
    <w:rsid w:val="006F454B"/>
    <w:rsid w:val="006F47BC"/>
    <w:rsid w:val="006F548A"/>
    <w:rsid w:val="006F5872"/>
    <w:rsid w:val="006F5CC3"/>
    <w:rsid w:val="007003B0"/>
    <w:rsid w:val="007011F4"/>
    <w:rsid w:val="00701E8B"/>
    <w:rsid w:val="00702CCF"/>
    <w:rsid w:val="00703425"/>
    <w:rsid w:val="00703E5C"/>
    <w:rsid w:val="00703FC2"/>
    <w:rsid w:val="007055A9"/>
    <w:rsid w:val="00705AB9"/>
    <w:rsid w:val="00705B88"/>
    <w:rsid w:val="0071022E"/>
    <w:rsid w:val="0071029D"/>
    <w:rsid w:val="00711258"/>
    <w:rsid w:val="00712314"/>
    <w:rsid w:val="00713B9D"/>
    <w:rsid w:val="00713F54"/>
    <w:rsid w:val="0071590C"/>
    <w:rsid w:val="007214C7"/>
    <w:rsid w:val="00723071"/>
    <w:rsid w:val="007237E4"/>
    <w:rsid w:val="00723AE7"/>
    <w:rsid w:val="007242B6"/>
    <w:rsid w:val="007253BE"/>
    <w:rsid w:val="00725C87"/>
    <w:rsid w:val="00726D2F"/>
    <w:rsid w:val="0072762D"/>
    <w:rsid w:val="00727BB5"/>
    <w:rsid w:val="00730369"/>
    <w:rsid w:val="007311CF"/>
    <w:rsid w:val="00731202"/>
    <w:rsid w:val="007315CD"/>
    <w:rsid w:val="00731B17"/>
    <w:rsid w:val="00732611"/>
    <w:rsid w:val="00732F3E"/>
    <w:rsid w:val="00734514"/>
    <w:rsid w:val="007358AB"/>
    <w:rsid w:val="00737622"/>
    <w:rsid w:val="0074165F"/>
    <w:rsid w:val="00742C2C"/>
    <w:rsid w:val="00742E69"/>
    <w:rsid w:val="00743E54"/>
    <w:rsid w:val="00743FBA"/>
    <w:rsid w:val="0074402F"/>
    <w:rsid w:val="00745188"/>
    <w:rsid w:val="007463A0"/>
    <w:rsid w:val="007475E4"/>
    <w:rsid w:val="00747CC0"/>
    <w:rsid w:val="0075035D"/>
    <w:rsid w:val="00750558"/>
    <w:rsid w:val="00750AEE"/>
    <w:rsid w:val="00750D11"/>
    <w:rsid w:val="0075121A"/>
    <w:rsid w:val="007529DC"/>
    <w:rsid w:val="007543B6"/>
    <w:rsid w:val="00754BE9"/>
    <w:rsid w:val="00755AF2"/>
    <w:rsid w:val="00755B1A"/>
    <w:rsid w:val="00755CA1"/>
    <w:rsid w:val="0075685C"/>
    <w:rsid w:val="00764D02"/>
    <w:rsid w:val="00767FAC"/>
    <w:rsid w:val="007711E7"/>
    <w:rsid w:val="0077140D"/>
    <w:rsid w:val="00773191"/>
    <w:rsid w:val="0077340B"/>
    <w:rsid w:val="007738D3"/>
    <w:rsid w:val="007738FE"/>
    <w:rsid w:val="0077398D"/>
    <w:rsid w:val="00773DF2"/>
    <w:rsid w:val="00774090"/>
    <w:rsid w:val="00774807"/>
    <w:rsid w:val="00774D64"/>
    <w:rsid w:val="007760E0"/>
    <w:rsid w:val="0077671D"/>
    <w:rsid w:val="00776F83"/>
    <w:rsid w:val="00777A8A"/>
    <w:rsid w:val="00777DC5"/>
    <w:rsid w:val="00780BBA"/>
    <w:rsid w:val="00780D81"/>
    <w:rsid w:val="00781801"/>
    <w:rsid w:val="0078224A"/>
    <w:rsid w:val="00782BD2"/>
    <w:rsid w:val="00784B6E"/>
    <w:rsid w:val="00784C88"/>
    <w:rsid w:val="007854FD"/>
    <w:rsid w:val="0078627E"/>
    <w:rsid w:val="00786396"/>
    <w:rsid w:val="00791B7B"/>
    <w:rsid w:val="00792F9D"/>
    <w:rsid w:val="0079345F"/>
    <w:rsid w:val="007939B4"/>
    <w:rsid w:val="00793CB8"/>
    <w:rsid w:val="00794F64"/>
    <w:rsid w:val="00795A79"/>
    <w:rsid w:val="00795E25"/>
    <w:rsid w:val="00796097"/>
    <w:rsid w:val="00796A8D"/>
    <w:rsid w:val="00797FF0"/>
    <w:rsid w:val="007A06F8"/>
    <w:rsid w:val="007A1711"/>
    <w:rsid w:val="007A229B"/>
    <w:rsid w:val="007A6A47"/>
    <w:rsid w:val="007B00E8"/>
    <w:rsid w:val="007B0CBD"/>
    <w:rsid w:val="007B11CE"/>
    <w:rsid w:val="007B25B4"/>
    <w:rsid w:val="007B2769"/>
    <w:rsid w:val="007B28A2"/>
    <w:rsid w:val="007B2D09"/>
    <w:rsid w:val="007B304A"/>
    <w:rsid w:val="007B39D0"/>
    <w:rsid w:val="007B3C9D"/>
    <w:rsid w:val="007B3F7D"/>
    <w:rsid w:val="007B5179"/>
    <w:rsid w:val="007B5945"/>
    <w:rsid w:val="007B6827"/>
    <w:rsid w:val="007B6FB3"/>
    <w:rsid w:val="007C01D8"/>
    <w:rsid w:val="007C0AD4"/>
    <w:rsid w:val="007C0C59"/>
    <w:rsid w:val="007C0E75"/>
    <w:rsid w:val="007C1D05"/>
    <w:rsid w:val="007C1EF6"/>
    <w:rsid w:val="007C2276"/>
    <w:rsid w:val="007C315E"/>
    <w:rsid w:val="007C3781"/>
    <w:rsid w:val="007C3CE9"/>
    <w:rsid w:val="007C4B99"/>
    <w:rsid w:val="007C643D"/>
    <w:rsid w:val="007C6658"/>
    <w:rsid w:val="007C667B"/>
    <w:rsid w:val="007C6C53"/>
    <w:rsid w:val="007C6E2E"/>
    <w:rsid w:val="007C6EC4"/>
    <w:rsid w:val="007C7659"/>
    <w:rsid w:val="007C76C5"/>
    <w:rsid w:val="007D011D"/>
    <w:rsid w:val="007D029E"/>
    <w:rsid w:val="007D2472"/>
    <w:rsid w:val="007D270A"/>
    <w:rsid w:val="007D2F53"/>
    <w:rsid w:val="007D3CD3"/>
    <w:rsid w:val="007D3DE6"/>
    <w:rsid w:val="007D545A"/>
    <w:rsid w:val="007D565F"/>
    <w:rsid w:val="007D56EF"/>
    <w:rsid w:val="007D6F58"/>
    <w:rsid w:val="007D720A"/>
    <w:rsid w:val="007E08CD"/>
    <w:rsid w:val="007E2C8E"/>
    <w:rsid w:val="007E3204"/>
    <w:rsid w:val="007E3217"/>
    <w:rsid w:val="007E4539"/>
    <w:rsid w:val="007E4672"/>
    <w:rsid w:val="007E5A6B"/>
    <w:rsid w:val="007E5F1A"/>
    <w:rsid w:val="007E6095"/>
    <w:rsid w:val="007E729C"/>
    <w:rsid w:val="007E7C0F"/>
    <w:rsid w:val="007F0A14"/>
    <w:rsid w:val="007F1FD9"/>
    <w:rsid w:val="007F2633"/>
    <w:rsid w:val="007F2B7C"/>
    <w:rsid w:val="007F2FD5"/>
    <w:rsid w:val="007F4A1F"/>
    <w:rsid w:val="007F5098"/>
    <w:rsid w:val="007F5190"/>
    <w:rsid w:val="007F5CEB"/>
    <w:rsid w:val="007F6361"/>
    <w:rsid w:val="007F65D6"/>
    <w:rsid w:val="007F7517"/>
    <w:rsid w:val="007F7E3B"/>
    <w:rsid w:val="00800365"/>
    <w:rsid w:val="008007E2"/>
    <w:rsid w:val="008016FB"/>
    <w:rsid w:val="008037A0"/>
    <w:rsid w:val="008061EE"/>
    <w:rsid w:val="008062F6"/>
    <w:rsid w:val="00806303"/>
    <w:rsid w:val="00806800"/>
    <w:rsid w:val="008072A6"/>
    <w:rsid w:val="008072F4"/>
    <w:rsid w:val="00807EAD"/>
    <w:rsid w:val="0081017A"/>
    <w:rsid w:val="00811F37"/>
    <w:rsid w:val="00812695"/>
    <w:rsid w:val="00814ADB"/>
    <w:rsid w:val="008157AE"/>
    <w:rsid w:val="00815D5D"/>
    <w:rsid w:val="008165C8"/>
    <w:rsid w:val="0081681C"/>
    <w:rsid w:val="00817E68"/>
    <w:rsid w:val="0082091E"/>
    <w:rsid w:val="008212A2"/>
    <w:rsid w:val="00821E3B"/>
    <w:rsid w:val="008221CC"/>
    <w:rsid w:val="008225F0"/>
    <w:rsid w:val="008245A6"/>
    <w:rsid w:val="00825F65"/>
    <w:rsid w:val="00826F36"/>
    <w:rsid w:val="00832526"/>
    <w:rsid w:val="00833658"/>
    <w:rsid w:val="0083495F"/>
    <w:rsid w:val="00834995"/>
    <w:rsid w:val="0083519E"/>
    <w:rsid w:val="0083614A"/>
    <w:rsid w:val="008366B7"/>
    <w:rsid w:val="00836EF4"/>
    <w:rsid w:val="00837CFB"/>
    <w:rsid w:val="008409F9"/>
    <w:rsid w:val="00841227"/>
    <w:rsid w:val="00842A8F"/>
    <w:rsid w:val="0084345C"/>
    <w:rsid w:val="00845080"/>
    <w:rsid w:val="00846AF8"/>
    <w:rsid w:val="00847FCC"/>
    <w:rsid w:val="00850EF9"/>
    <w:rsid w:val="008527F8"/>
    <w:rsid w:val="00853613"/>
    <w:rsid w:val="00854415"/>
    <w:rsid w:val="008570DA"/>
    <w:rsid w:val="0085729C"/>
    <w:rsid w:val="00860719"/>
    <w:rsid w:val="00860DAA"/>
    <w:rsid w:val="00862027"/>
    <w:rsid w:val="008625AF"/>
    <w:rsid w:val="00862A2E"/>
    <w:rsid w:val="00863722"/>
    <w:rsid w:val="00864F2B"/>
    <w:rsid w:val="008654C5"/>
    <w:rsid w:val="008654E5"/>
    <w:rsid w:val="008670D4"/>
    <w:rsid w:val="00870F0F"/>
    <w:rsid w:val="00870F2F"/>
    <w:rsid w:val="00874919"/>
    <w:rsid w:val="00874FE8"/>
    <w:rsid w:val="00875AAE"/>
    <w:rsid w:val="00875D5C"/>
    <w:rsid w:val="00877603"/>
    <w:rsid w:val="00880271"/>
    <w:rsid w:val="00880942"/>
    <w:rsid w:val="00880D90"/>
    <w:rsid w:val="0088280E"/>
    <w:rsid w:val="008832A6"/>
    <w:rsid w:val="0088365A"/>
    <w:rsid w:val="008851F3"/>
    <w:rsid w:val="0088567C"/>
    <w:rsid w:val="008874A9"/>
    <w:rsid w:val="008874EA"/>
    <w:rsid w:val="00887AD2"/>
    <w:rsid w:val="00890368"/>
    <w:rsid w:val="00891594"/>
    <w:rsid w:val="00892754"/>
    <w:rsid w:val="0089455F"/>
    <w:rsid w:val="008947C1"/>
    <w:rsid w:val="00895BBD"/>
    <w:rsid w:val="00896985"/>
    <w:rsid w:val="00897801"/>
    <w:rsid w:val="008A1107"/>
    <w:rsid w:val="008A23CE"/>
    <w:rsid w:val="008A3912"/>
    <w:rsid w:val="008A39BE"/>
    <w:rsid w:val="008A43F7"/>
    <w:rsid w:val="008A511C"/>
    <w:rsid w:val="008A52DE"/>
    <w:rsid w:val="008A55CD"/>
    <w:rsid w:val="008A560E"/>
    <w:rsid w:val="008A6B2C"/>
    <w:rsid w:val="008A7579"/>
    <w:rsid w:val="008B0005"/>
    <w:rsid w:val="008B0746"/>
    <w:rsid w:val="008B094D"/>
    <w:rsid w:val="008B0FCA"/>
    <w:rsid w:val="008B1576"/>
    <w:rsid w:val="008B1CBD"/>
    <w:rsid w:val="008B24B4"/>
    <w:rsid w:val="008B26F1"/>
    <w:rsid w:val="008B32D2"/>
    <w:rsid w:val="008B4DA7"/>
    <w:rsid w:val="008B511F"/>
    <w:rsid w:val="008B5509"/>
    <w:rsid w:val="008B5613"/>
    <w:rsid w:val="008B6887"/>
    <w:rsid w:val="008B6E67"/>
    <w:rsid w:val="008B7B5C"/>
    <w:rsid w:val="008C06EC"/>
    <w:rsid w:val="008C0B40"/>
    <w:rsid w:val="008C1216"/>
    <w:rsid w:val="008C195B"/>
    <w:rsid w:val="008C260B"/>
    <w:rsid w:val="008C2889"/>
    <w:rsid w:val="008C3292"/>
    <w:rsid w:val="008C5C42"/>
    <w:rsid w:val="008C6747"/>
    <w:rsid w:val="008C6863"/>
    <w:rsid w:val="008D0615"/>
    <w:rsid w:val="008D1EBD"/>
    <w:rsid w:val="008D332F"/>
    <w:rsid w:val="008D4636"/>
    <w:rsid w:val="008D4E01"/>
    <w:rsid w:val="008D542E"/>
    <w:rsid w:val="008D572E"/>
    <w:rsid w:val="008D5841"/>
    <w:rsid w:val="008D63C0"/>
    <w:rsid w:val="008D77D8"/>
    <w:rsid w:val="008D789D"/>
    <w:rsid w:val="008E007F"/>
    <w:rsid w:val="008E09B8"/>
    <w:rsid w:val="008E2B71"/>
    <w:rsid w:val="008E31AC"/>
    <w:rsid w:val="008E3D7C"/>
    <w:rsid w:val="008E41BD"/>
    <w:rsid w:val="008E450F"/>
    <w:rsid w:val="008E4F9A"/>
    <w:rsid w:val="008E6EB7"/>
    <w:rsid w:val="008F023B"/>
    <w:rsid w:val="008F1A0B"/>
    <w:rsid w:val="008F1D52"/>
    <w:rsid w:val="008F266F"/>
    <w:rsid w:val="008F30EC"/>
    <w:rsid w:val="008F370C"/>
    <w:rsid w:val="008F38AB"/>
    <w:rsid w:val="008F4B59"/>
    <w:rsid w:val="008F5082"/>
    <w:rsid w:val="008F58BA"/>
    <w:rsid w:val="008F5FFD"/>
    <w:rsid w:val="008F6290"/>
    <w:rsid w:val="008F6695"/>
    <w:rsid w:val="00902750"/>
    <w:rsid w:val="00902E44"/>
    <w:rsid w:val="009031EA"/>
    <w:rsid w:val="00903D79"/>
    <w:rsid w:val="00910BC8"/>
    <w:rsid w:val="00911754"/>
    <w:rsid w:val="00911D5C"/>
    <w:rsid w:val="009128DE"/>
    <w:rsid w:val="00912D4D"/>
    <w:rsid w:val="009132EC"/>
    <w:rsid w:val="00914D77"/>
    <w:rsid w:val="00915488"/>
    <w:rsid w:val="009179E8"/>
    <w:rsid w:val="00917FDD"/>
    <w:rsid w:val="009206B0"/>
    <w:rsid w:val="00921292"/>
    <w:rsid w:val="00925B58"/>
    <w:rsid w:val="00925F51"/>
    <w:rsid w:val="00925FC1"/>
    <w:rsid w:val="00926CEA"/>
    <w:rsid w:val="00927B1C"/>
    <w:rsid w:val="00927E20"/>
    <w:rsid w:val="00930C14"/>
    <w:rsid w:val="00931DF8"/>
    <w:rsid w:val="009322B9"/>
    <w:rsid w:val="00932431"/>
    <w:rsid w:val="00933212"/>
    <w:rsid w:val="009344D3"/>
    <w:rsid w:val="00937667"/>
    <w:rsid w:val="009379F0"/>
    <w:rsid w:val="00940590"/>
    <w:rsid w:val="00940B8E"/>
    <w:rsid w:val="00940D39"/>
    <w:rsid w:val="00940DEB"/>
    <w:rsid w:val="009414AD"/>
    <w:rsid w:val="009417BB"/>
    <w:rsid w:val="009442E8"/>
    <w:rsid w:val="009444DA"/>
    <w:rsid w:val="009450D9"/>
    <w:rsid w:val="00945749"/>
    <w:rsid w:val="0094684D"/>
    <w:rsid w:val="00946CD7"/>
    <w:rsid w:val="00947206"/>
    <w:rsid w:val="009475AB"/>
    <w:rsid w:val="00950832"/>
    <w:rsid w:val="00952B6B"/>
    <w:rsid w:val="0095362E"/>
    <w:rsid w:val="009539D1"/>
    <w:rsid w:val="0095482B"/>
    <w:rsid w:val="00955A54"/>
    <w:rsid w:val="00955AAF"/>
    <w:rsid w:val="00956F31"/>
    <w:rsid w:val="00961317"/>
    <w:rsid w:val="00961EFA"/>
    <w:rsid w:val="00963EE7"/>
    <w:rsid w:val="00965FDF"/>
    <w:rsid w:val="00967B2B"/>
    <w:rsid w:val="00970879"/>
    <w:rsid w:val="00970E35"/>
    <w:rsid w:val="00971292"/>
    <w:rsid w:val="00971A94"/>
    <w:rsid w:val="009723CC"/>
    <w:rsid w:val="00972F98"/>
    <w:rsid w:val="00973D78"/>
    <w:rsid w:val="0097553B"/>
    <w:rsid w:val="009760D1"/>
    <w:rsid w:val="00977EDB"/>
    <w:rsid w:val="00980C3D"/>
    <w:rsid w:val="00981761"/>
    <w:rsid w:val="0098179A"/>
    <w:rsid w:val="00982D5E"/>
    <w:rsid w:val="00983C77"/>
    <w:rsid w:val="00983E64"/>
    <w:rsid w:val="0098425E"/>
    <w:rsid w:val="00987C99"/>
    <w:rsid w:val="00990270"/>
    <w:rsid w:val="009902C0"/>
    <w:rsid w:val="0099094B"/>
    <w:rsid w:val="009912A7"/>
    <w:rsid w:val="00992842"/>
    <w:rsid w:val="0099392C"/>
    <w:rsid w:val="00993DCB"/>
    <w:rsid w:val="0099525C"/>
    <w:rsid w:val="009955F6"/>
    <w:rsid w:val="00996E89"/>
    <w:rsid w:val="00997361"/>
    <w:rsid w:val="009A048D"/>
    <w:rsid w:val="009A1CD5"/>
    <w:rsid w:val="009A1CDF"/>
    <w:rsid w:val="009A21AB"/>
    <w:rsid w:val="009A2628"/>
    <w:rsid w:val="009A2EFA"/>
    <w:rsid w:val="009A3496"/>
    <w:rsid w:val="009A3960"/>
    <w:rsid w:val="009A45A3"/>
    <w:rsid w:val="009A496E"/>
    <w:rsid w:val="009A588F"/>
    <w:rsid w:val="009A5A93"/>
    <w:rsid w:val="009A63A4"/>
    <w:rsid w:val="009A6B6C"/>
    <w:rsid w:val="009A6B93"/>
    <w:rsid w:val="009A728A"/>
    <w:rsid w:val="009A7CBC"/>
    <w:rsid w:val="009B0D43"/>
    <w:rsid w:val="009B1359"/>
    <w:rsid w:val="009B1DA7"/>
    <w:rsid w:val="009B2B9D"/>
    <w:rsid w:val="009B41E9"/>
    <w:rsid w:val="009B59AA"/>
    <w:rsid w:val="009B60FF"/>
    <w:rsid w:val="009B717E"/>
    <w:rsid w:val="009B7B88"/>
    <w:rsid w:val="009B7C41"/>
    <w:rsid w:val="009C23B3"/>
    <w:rsid w:val="009C3A1B"/>
    <w:rsid w:val="009C3A2F"/>
    <w:rsid w:val="009C4919"/>
    <w:rsid w:val="009C673D"/>
    <w:rsid w:val="009C68C8"/>
    <w:rsid w:val="009C6CC8"/>
    <w:rsid w:val="009C6FA7"/>
    <w:rsid w:val="009C76D2"/>
    <w:rsid w:val="009C7CBC"/>
    <w:rsid w:val="009D1876"/>
    <w:rsid w:val="009D19D5"/>
    <w:rsid w:val="009D2BD1"/>
    <w:rsid w:val="009D2EFA"/>
    <w:rsid w:val="009D36DA"/>
    <w:rsid w:val="009D51B1"/>
    <w:rsid w:val="009D694D"/>
    <w:rsid w:val="009D6FC3"/>
    <w:rsid w:val="009D7268"/>
    <w:rsid w:val="009D75B3"/>
    <w:rsid w:val="009E0BE9"/>
    <w:rsid w:val="009E132F"/>
    <w:rsid w:val="009E1428"/>
    <w:rsid w:val="009E1EF7"/>
    <w:rsid w:val="009E27BE"/>
    <w:rsid w:val="009E2D51"/>
    <w:rsid w:val="009E2F57"/>
    <w:rsid w:val="009E2F6B"/>
    <w:rsid w:val="009E31F7"/>
    <w:rsid w:val="009E41DA"/>
    <w:rsid w:val="009E5718"/>
    <w:rsid w:val="009E661E"/>
    <w:rsid w:val="009E6E3D"/>
    <w:rsid w:val="009E756D"/>
    <w:rsid w:val="009E7FDF"/>
    <w:rsid w:val="009F17EC"/>
    <w:rsid w:val="009F266E"/>
    <w:rsid w:val="009F3385"/>
    <w:rsid w:val="009F450A"/>
    <w:rsid w:val="009F50CF"/>
    <w:rsid w:val="009F5A2A"/>
    <w:rsid w:val="009F661D"/>
    <w:rsid w:val="009F67F1"/>
    <w:rsid w:val="009F740E"/>
    <w:rsid w:val="009F79F2"/>
    <w:rsid w:val="009F7EDC"/>
    <w:rsid w:val="00A00139"/>
    <w:rsid w:val="00A00753"/>
    <w:rsid w:val="00A00759"/>
    <w:rsid w:val="00A013F4"/>
    <w:rsid w:val="00A01A86"/>
    <w:rsid w:val="00A02349"/>
    <w:rsid w:val="00A024A9"/>
    <w:rsid w:val="00A029EB"/>
    <w:rsid w:val="00A035A0"/>
    <w:rsid w:val="00A0418B"/>
    <w:rsid w:val="00A06E12"/>
    <w:rsid w:val="00A07E35"/>
    <w:rsid w:val="00A11FA5"/>
    <w:rsid w:val="00A12ABC"/>
    <w:rsid w:val="00A12C35"/>
    <w:rsid w:val="00A14F47"/>
    <w:rsid w:val="00A152BD"/>
    <w:rsid w:val="00A15515"/>
    <w:rsid w:val="00A16476"/>
    <w:rsid w:val="00A16E73"/>
    <w:rsid w:val="00A17E25"/>
    <w:rsid w:val="00A20BC0"/>
    <w:rsid w:val="00A218AF"/>
    <w:rsid w:val="00A22408"/>
    <w:rsid w:val="00A2259B"/>
    <w:rsid w:val="00A22BB9"/>
    <w:rsid w:val="00A22E91"/>
    <w:rsid w:val="00A239E8"/>
    <w:rsid w:val="00A23B3F"/>
    <w:rsid w:val="00A23DC6"/>
    <w:rsid w:val="00A24E09"/>
    <w:rsid w:val="00A2520F"/>
    <w:rsid w:val="00A2545F"/>
    <w:rsid w:val="00A25933"/>
    <w:rsid w:val="00A26100"/>
    <w:rsid w:val="00A27764"/>
    <w:rsid w:val="00A27DFC"/>
    <w:rsid w:val="00A27FAD"/>
    <w:rsid w:val="00A30768"/>
    <w:rsid w:val="00A30AF7"/>
    <w:rsid w:val="00A31D8B"/>
    <w:rsid w:val="00A32F7B"/>
    <w:rsid w:val="00A32FD6"/>
    <w:rsid w:val="00A3320A"/>
    <w:rsid w:val="00A33593"/>
    <w:rsid w:val="00A33C05"/>
    <w:rsid w:val="00A356E9"/>
    <w:rsid w:val="00A37BB9"/>
    <w:rsid w:val="00A40385"/>
    <w:rsid w:val="00A4064A"/>
    <w:rsid w:val="00A414C4"/>
    <w:rsid w:val="00A41FD6"/>
    <w:rsid w:val="00A42491"/>
    <w:rsid w:val="00A42D57"/>
    <w:rsid w:val="00A43340"/>
    <w:rsid w:val="00A43B68"/>
    <w:rsid w:val="00A43DB2"/>
    <w:rsid w:val="00A44396"/>
    <w:rsid w:val="00A45309"/>
    <w:rsid w:val="00A473BB"/>
    <w:rsid w:val="00A474BB"/>
    <w:rsid w:val="00A47B75"/>
    <w:rsid w:val="00A501EC"/>
    <w:rsid w:val="00A51A7D"/>
    <w:rsid w:val="00A52222"/>
    <w:rsid w:val="00A52B7A"/>
    <w:rsid w:val="00A53883"/>
    <w:rsid w:val="00A54B80"/>
    <w:rsid w:val="00A54FED"/>
    <w:rsid w:val="00A5663D"/>
    <w:rsid w:val="00A56B53"/>
    <w:rsid w:val="00A56B85"/>
    <w:rsid w:val="00A60DAD"/>
    <w:rsid w:val="00A6325E"/>
    <w:rsid w:val="00A63298"/>
    <w:rsid w:val="00A65950"/>
    <w:rsid w:val="00A732F8"/>
    <w:rsid w:val="00A748B0"/>
    <w:rsid w:val="00A7654E"/>
    <w:rsid w:val="00A76A91"/>
    <w:rsid w:val="00A76E1C"/>
    <w:rsid w:val="00A77E3C"/>
    <w:rsid w:val="00A806C8"/>
    <w:rsid w:val="00A80E00"/>
    <w:rsid w:val="00A814BA"/>
    <w:rsid w:val="00A822B8"/>
    <w:rsid w:val="00A82C9F"/>
    <w:rsid w:val="00A84354"/>
    <w:rsid w:val="00A84923"/>
    <w:rsid w:val="00A84F36"/>
    <w:rsid w:val="00A85326"/>
    <w:rsid w:val="00A8596B"/>
    <w:rsid w:val="00A86BAA"/>
    <w:rsid w:val="00A8756C"/>
    <w:rsid w:val="00A87F82"/>
    <w:rsid w:val="00A91669"/>
    <w:rsid w:val="00A94F17"/>
    <w:rsid w:val="00A96903"/>
    <w:rsid w:val="00A975C3"/>
    <w:rsid w:val="00AA02CE"/>
    <w:rsid w:val="00AA0579"/>
    <w:rsid w:val="00AA0C8F"/>
    <w:rsid w:val="00AA1273"/>
    <w:rsid w:val="00AA2056"/>
    <w:rsid w:val="00AA23D8"/>
    <w:rsid w:val="00AA2F13"/>
    <w:rsid w:val="00AA30CE"/>
    <w:rsid w:val="00AA5253"/>
    <w:rsid w:val="00AA587F"/>
    <w:rsid w:val="00AA6C6C"/>
    <w:rsid w:val="00AA7CE0"/>
    <w:rsid w:val="00AB15D2"/>
    <w:rsid w:val="00AB1B8A"/>
    <w:rsid w:val="00AB2ED8"/>
    <w:rsid w:val="00AB376C"/>
    <w:rsid w:val="00AB3882"/>
    <w:rsid w:val="00AB76A9"/>
    <w:rsid w:val="00AC149B"/>
    <w:rsid w:val="00AC252D"/>
    <w:rsid w:val="00AC418C"/>
    <w:rsid w:val="00AC4BF8"/>
    <w:rsid w:val="00AC5E60"/>
    <w:rsid w:val="00AC6AAC"/>
    <w:rsid w:val="00AD1427"/>
    <w:rsid w:val="00AD26EF"/>
    <w:rsid w:val="00AD3740"/>
    <w:rsid w:val="00AD458B"/>
    <w:rsid w:val="00AD5126"/>
    <w:rsid w:val="00AD5AB0"/>
    <w:rsid w:val="00AD62A3"/>
    <w:rsid w:val="00AD66B3"/>
    <w:rsid w:val="00AD7F56"/>
    <w:rsid w:val="00AD7F60"/>
    <w:rsid w:val="00AE0950"/>
    <w:rsid w:val="00AE2789"/>
    <w:rsid w:val="00AE2B5E"/>
    <w:rsid w:val="00AE2FC8"/>
    <w:rsid w:val="00AE3877"/>
    <w:rsid w:val="00AE4151"/>
    <w:rsid w:val="00AE611E"/>
    <w:rsid w:val="00AE6A90"/>
    <w:rsid w:val="00AE6B86"/>
    <w:rsid w:val="00AE6B89"/>
    <w:rsid w:val="00AE7D9D"/>
    <w:rsid w:val="00AE7EAC"/>
    <w:rsid w:val="00AF1104"/>
    <w:rsid w:val="00AF1B30"/>
    <w:rsid w:val="00AF2689"/>
    <w:rsid w:val="00AF3270"/>
    <w:rsid w:val="00AF38C8"/>
    <w:rsid w:val="00AF43A2"/>
    <w:rsid w:val="00AF4647"/>
    <w:rsid w:val="00AF46D0"/>
    <w:rsid w:val="00AF46DB"/>
    <w:rsid w:val="00AF47FD"/>
    <w:rsid w:val="00AF6D8E"/>
    <w:rsid w:val="00AF7B29"/>
    <w:rsid w:val="00B00AF9"/>
    <w:rsid w:val="00B01406"/>
    <w:rsid w:val="00B02992"/>
    <w:rsid w:val="00B02A32"/>
    <w:rsid w:val="00B04535"/>
    <w:rsid w:val="00B04EE8"/>
    <w:rsid w:val="00B0601E"/>
    <w:rsid w:val="00B065AF"/>
    <w:rsid w:val="00B07395"/>
    <w:rsid w:val="00B0796C"/>
    <w:rsid w:val="00B10A06"/>
    <w:rsid w:val="00B11A11"/>
    <w:rsid w:val="00B12511"/>
    <w:rsid w:val="00B13645"/>
    <w:rsid w:val="00B14B89"/>
    <w:rsid w:val="00B16572"/>
    <w:rsid w:val="00B20D22"/>
    <w:rsid w:val="00B20E56"/>
    <w:rsid w:val="00B21173"/>
    <w:rsid w:val="00B211DE"/>
    <w:rsid w:val="00B217F3"/>
    <w:rsid w:val="00B21AB7"/>
    <w:rsid w:val="00B21BC2"/>
    <w:rsid w:val="00B21F3A"/>
    <w:rsid w:val="00B22124"/>
    <w:rsid w:val="00B223AE"/>
    <w:rsid w:val="00B23AC9"/>
    <w:rsid w:val="00B26A5C"/>
    <w:rsid w:val="00B274EF"/>
    <w:rsid w:val="00B27597"/>
    <w:rsid w:val="00B314B4"/>
    <w:rsid w:val="00B3203C"/>
    <w:rsid w:val="00B32C81"/>
    <w:rsid w:val="00B33B83"/>
    <w:rsid w:val="00B346AE"/>
    <w:rsid w:val="00B34826"/>
    <w:rsid w:val="00B35D7C"/>
    <w:rsid w:val="00B36059"/>
    <w:rsid w:val="00B36D7D"/>
    <w:rsid w:val="00B40462"/>
    <w:rsid w:val="00B40645"/>
    <w:rsid w:val="00B40A61"/>
    <w:rsid w:val="00B41513"/>
    <w:rsid w:val="00B441D7"/>
    <w:rsid w:val="00B4532E"/>
    <w:rsid w:val="00B454B3"/>
    <w:rsid w:val="00B4605C"/>
    <w:rsid w:val="00B469CC"/>
    <w:rsid w:val="00B50288"/>
    <w:rsid w:val="00B50761"/>
    <w:rsid w:val="00B51998"/>
    <w:rsid w:val="00B51C6A"/>
    <w:rsid w:val="00B538FD"/>
    <w:rsid w:val="00B53B3A"/>
    <w:rsid w:val="00B563D6"/>
    <w:rsid w:val="00B56945"/>
    <w:rsid w:val="00B5698C"/>
    <w:rsid w:val="00B56D61"/>
    <w:rsid w:val="00B60821"/>
    <w:rsid w:val="00B608ED"/>
    <w:rsid w:val="00B6110E"/>
    <w:rsid w:val="00B617D2"/>
    <w:rsid w:val="00B61F09"/>
    <w:rsid w:val="00B62B8E"/>
    <w:rsid w:val="00B648E3"/>
    <w:rsid w:val="00B65568"/>
    <w:rsid w:val="00B65954"/>
    <w:rsid w:val="00B65C06"/>
    <w:rsid w:val="00B667C6"/>
    <w:rsid w:val="00B66DC6"/>
    <w:rsid w:val="00B66E51"/>
    <w:rsid w:val="00B6792F"/>
    <w:rsid w:val="00B70BD4"/>
    <w:rsid w:val="00B71C22"/>
    <w:rsid w:val="00B7249D"/>
    <w:rsid w:val="00B725A7"/>
    <w:rsid w:val="00B7372C"/>
    <w:rsid w:val="00B739A0"/>
    <w:rsid w:val="00B73A45"/>
    <w:rsid w:val="00B747ED"/>
    <w:rsid w:val="00B75547"/>
    <w:rsid w:val="00B770E3"/>
    <w:rsid w:val="00B80D87"/>
    <w:rsid w:val="00B812BA"/>
    <w:rsid w:val="00B81BCF"/>
    <w:rsid w:val="00B83009"/>
    <w:rsid w:val="00B830D0"/>
    <w:rsid w:val="00B83D4E"/>
    <w:rsid w:val="00B845BC"/>
    <w:rsid w:val="00B86DBD"/>
    <w:rsid w:val="00B87B2D"/>
    <w:rsid w:val="00B87C88"/>
    <w:rsid w:val="00B90321"/>
    <w:rsid w:val="00B912BF"/>
    <w:rsid w:val="00B913DD"/>
    <w:rsid w:val="00B920B9"/>
    <w:rsid w:val="00B9221E"/>
    <w:rsid w:val="00B9275F"/>
    <w:rsid w:val="00B92D78"/>
    <w:rsid w:val="00B93053"/>
    <w:rsid w:val="00B93B23"/>
    <w:rsid w:val="00B93D80"/>
    <w:rsid w:val="00B93F05"/>
    <w:rsid w:val="00B9443D"/>
    <w:rsid w:val="00B945AF"/>
    <w:rsid w:val="00B9473D"/>
    <w:rsid w:val="00B954D8"/>
    <w:rsid w:val="00B955C1"/>
    <w:rsid w:val="00B96B95"/>
    <w:rsid w:val="00BA02BF"/>
    <w:rsid w:val="00BA0E42"/>
    <w:rsid w:val="00BA0F5D"/>
    <w:rsid w:val="00BA27DA"/>
    <w:rsid w:val="00BA2D33"/>
    <w:rsid w:val="00BA3C8E"/>
    <w:rsid w:val="00BA47F1"/>
    <w:rsid w:val="00BA7A05"/>
    <w:rsid w:val="00BB03BF"/>
    <w:rsid w:val="00BB388D"/>
    <w:rsid w:val="00BB3F92"/>
    <w:rsid w:val="00BB40F1"/>
    <w:rsid w:val="00BB4107"/>
    <w:rsid w:val="00BB664C"/>
    <w:rsid w:val="00BB6D0F"/>
    <w:rsid w:val="00BB78B8"/>
    <w:rsid w:val="00BC02A4"/>
    <w:rsid w:val="00BC1B04"/>
    <w:rsid w:val="00BC1C28"/>
    <w:rsid w:val="00BC2632"/>
    <w:rsid w:val="00BC2C72"/>
    <w:rsid w:val="00BC2F17"/>
    <w:rsid w:val="00BC3DE5"/>
    <w:rsid w:val="00BC4685"/>
    <w:rsid w:val="00BC5179"/>
    <w:rsid w:val="00BC6CF0"/>
    <w:rsid w:val="00BD035D"/>
    <w:rsid w:val="00BD0AAB"/>
    <w:rsid w:val="00BD25A7"/>
    <w:rsid w:val="00BD298D"/>
    <w:rsid w:val="00BD31A8"/>
    <w:rsid w:val="00BD329D"/>
    <w:rsid w:val="00BD45A0"/>
    <w:rsid w:val="00BD66DB"/>
    <w:rsid w:val="00BD794D"/>
    <w:rsid w:val="00BD7B06"/>
    <w:rsid w:val="00BE03D0"/>
    <w:rsid w:val="00BE0B8B"/>
    <w:rsid w:val="00BE1992"/>
    <w:rsid w:val="00BE47A2"/>
    <w:rsid w:val="00BE634B"/>
    <w:rsid w:val="00BE65DB"/>
    <w:rsid w:val="00BE759F"/>
    <w:rsid w:val="00BE75F7"/>
    <w:rsid w:val="00BE7EEE"/>
    <w:rsid w:val="00BF06B6"/>
    <w:rsid w:val="00BF1E74"/>
    <w:rsid w:val="00BF26A8"/>
    <w:rsid w:val="00BF6D57"/>
    <w:rsid w:val="00BF7650"/>
    <w:rsid w:val="00C00F1B"/>
    <w:rsid w:val="00C01D28"/>
    <w:rsid w:val="00C0209D"/>
    <w:rsid w:val="00C030FD"/>
    <w:rsid w:val="00C03B60"/>
    <w:rsid w:val="00C04C5C"/>
    <w:rsid w:val="00C04E4D"/>
    <w:rsid w:val="00C0595B"/>
    <w:rsid w:val="00C05EF2"/>
    <w:rsid w:val="00C106B2"/>
    <w:rsid w:val="00C10B40"/>
    <w:rsid w:val="00C112A4"/>
    <w:rsid w:val="00C12604"/>
    <w:rsid w:val="00C1267E"/>
    <w:rsid w:val="00C13B39"/>
    <w:rsid w:val="00C15471"/>
    <w:rsid w:val="00C15D41"/>
    <w:rsid w:val="00C16030"/>
    <w:rsid w:val="00C167AD"/>
    <w:rsid w:val="00C20380"/>
    <w:rsid w:val="00C222A6"/>
    <w:rsid w:val="00C23CA5"/>
    <w:rsid w:val="00C24231"/>
    <w:rsid w:val="00C246C0"/>
    <w:rsid w:val="00C246F8"/>
    <w:rsid w:val="00C2524C"/>
    <w:rsid w:val="00C25482"/>
    <w:rsid w:val="00C26100"/>
    <w:rsid w:val="00C263D1"/>
    <w:rsid w:val="00C26565"/>
    <w:rsid w:val="00C2762D"/>
    <w:rsid w:val="00C30210"/>
    <w:rsid w:val="00C302AD"/>
    <w:rsid w:val="00C302DC"/>
    <w:rsid w:val="00C30535"/>
    <w:rsid w:val="00C31380"/>
    <w:rsid w:val="00C31B00"/>
    <w:rsid w:val="00C32AE7"/>
    <w:rsid w:val="00C33C4B"/>
    <w:rsid w:val="00C34D64"/>
    <w:rsid w:val="00C35F76"/>
    <w:rsid w:val="00C363B1"/>
    <w:rsid w:val="00C36D18"/>
    <w:rsid w:val="00C36FEF"/>
    <w:rsid w:val="00C37598"/>
    <w:rsid w:val="00C377A5"/>
    <w:rsid w:val="00C3797F"/>
    <w:rsid w:val="00C37C52"/>
    <w:rsid w:val="00C403FA"/>
    <w:rsid w:val="00C41319"/>
    <w:rsid w:val="00C41B5B"/>
    <w:rsid w:val="00C41E72"/>
    <w:rsid w:val="00C41ED5"/>
    <w:rsid w:val="00C42157"/>
    <w:rsid w:val="00C435A3"/>
    <w:rsid w:val="00C4390C"/>
    <w:rsid w:val="00C440ED"/>
    <w:rsid w:val="00C45804"/>
    <w:rsid w:val="00C45E32"/>
    <w:rsid w:val="00C50379"/>
    <w:rsid w:val="00C50872"/>
    <w:rsid w:val="00C50941"/>
    <w:rsid w:val="00C532BE"/>
    <w:rsid w:val="00C54A6C"/>
    <w:rsid w:val="00C56AB8"/>
    <w:rsid w:val="00C61630"/>
    <w:rsid w:val="00C63A3A"/>
    <w:rsid w:val="00C63D1F"/>
    <w:rsid w:val="00C63F93"/>
    <w:rsid w:val="00C65613"/>
    <w:rsid w:val="00C65AB2"/>
    <w:rsid w:val="00C65AE6"/>
    <w:rsid w:val="00C66555"/>
    <w:rsid w:val="00C67757"/>
    <w:rsid w:val="00C7084F"/>
    <w:rsid w:val="00C71336"/>
    <w:rsid w:val="00C719F2"/>
    <w:rsid w:val="00C723C7"/>
    <w:rsid w:val="00C76009"/>
    <w:rsid w:val="00C76ACC"/>
    <w:rsid w:val="00C7713D"/>
    <w:rsid w:val="00C805EB"/>
    <w:rsid w:val="00C82375"/>
    <w:rsid w:val="00C8289E"/>
    <w:rsid w:val="00C82FEC"/>
    <w:rsid w:val="00C83545"/>
    <w:rsid w:val="00C84D84"/>
    <w:rsid w:val="00C8519C"/>
    <w:rsid w:val="00C8634A"/>
    <w:rsid w:val="00C8647C"/>
    <w:rsid w:val="00C86E7A"/>
    <w:rsid w:val="00C871F9"/>
    <w:rsid w:val="00C91A59"/>
    <w:rsid w:val="00C92751"/>
    <w:rsid w:val="00C92BBE"/>
    <w:rsid w:val="00C9334E"/>
    <w:rsid w:val="00C93FC5"/>
    <w:rsid w:val="00C94057"/>
    <w:rsid w:val="00C948FF"/>
    <w:rsid w:val="00C94E1E"/>
    <w:rsid w:val="00C9796D"/>
    <w:rsid w:val="00CA16F0"/>
    <w:rsid w:val="00CA1B6D"/>
    <w:rsid w:val="00CA1C0F"/>
    <w:rsid w:val="00CA293E"/>
    <w:rsid w:val="00CA32D5"/>
    <w:rsid w:val="00CA3A3E"/>
    <w:rsid w:val="00CA58C7"/>
    <w:rsid w:val="00CA6806"/>
    <w:rsid w:val="00CB09FF"/>
    <w:rsid w:val="00CB0EB5"/>
    <w:rsid w:val="00CB23EE"/>
    <w:rsid w:val="00CB2A1F"/>
    <w:rsid w:val="00CB3264"/>
    <w:rsid w:val="00CB4EC5"/>
    <w:rsid w:val="00CB5198"/>
    <w:rsid w:val="00CB6085"/>
    <w:rsid w:val="00CB6BD8"/>
    <w:rsid w:val="00CB6F44"/>
    <w:rsid w:val="00CC0FA4"/>
    <w:rsid w:val="00CC1AA5"/>
    <w:rsid w:val="00CC1B9E"/>
    <w:rsid w:val="00CC1DF1"/>
    <w:rsid w:val="00CC1E68"/>
    <w:rsid w:val="00CC2798"/>
    <w:rsid w:val="00CC4460"/>
    <w:rsid w:val="00CC49EC"/>
    <w:rsid w:val="00CC62D0"/>
    <w:rsid w:val="00CC640A"/>
    <w:rsid w:val="00CC6ED1"/>
    <w:rsid w:val="00CD0961"/>
    <w:rsid w:val="00CD3362"/>
    <w:rsid w:val="00CD44D3"/>
    <w:rsid w:val="00CD4988"/>
    <w:rsid w:val="00CD575C"/>
    <w:rsid w:val="00CD578F"/>
    <w:rsid w:val="00CD5C21"/>
    <w:rsid w:val="00CD5EC2"/>
    <w:rsid w:val="00CD6421"/>
    <w:rsid w:val="00CE0F60"/>
    <w:rsid w:val="00CE1455"/>
    <w:rsid w:val="00CE1DFA"/>
    <w:rsid w:val="00CE3DF7"/>
    <w:rsid w:val="00CE441C"/>
    <w:rsid w:val="00CE4425"/>
    <w:rsid w:val="00CE4623"/>
    <w:rsid w:val="00CE5B2D"/>
    <w:rsid w:val="00CE5BE2"/>
    <w:rsid w:val="00CE5C3E"/>
    <w:rsid w:val="00CE60CC"/>
    <w:rsid w:val="00CE6859"/>
    <w:rsid w:val="00CE6F88"/>
    <w:rsid w:val="00CE7080"/>
    <w:rsid w:val="00CE71BA"/>
    <w:rsid w:val="00CF0474"/>
    <w:rsid w:val="00CF08E6"/>
    <w:rsid w:val="00CF1F4A"/>
    <w:rsid w:val="00CF33D5"/>
    <w:rsid w:val="00CF3715"/>
    <w:rsid w:val="00CF4D0E"/>
    <w:rsid w:val="00CF654D"/>
    <w:rsid w:val="00D0123C"/>
    <w:rsid w:val="00D02F6E"/>
    <w:rsid w:val="00D0390F"/>
    <w:rsid w:val="00D051F0"/>
    <w:rsid w:val="00D05CC2"/>
    <w:rsid w:val="00D077E3"/>
    <w:rsid w:val="00D07972"/>
    <w:rsid w:val="00D106F0"/>
    <w:rsid w:val="00D1072F"/>
    <w:rsid w:val="00D10DB1"/>
    <w:rsid w:val="00D11385"/>
    <w:rsid w:val="00D12B46"/>
    <w:rsid w:val="00D12C4F"/>
    <w:rsid w:val="00D13EE2"/>
    <w:rsid w:val="00D141E4"/>
    <w:rsid w:val="00D162F8"/>
    <w:rsid w:val="00D163D2"/>
    <w:rsid w:val="00D176D1"/>
    <w:rsid w:val="00D17F6C"/>
    <w:rsid w:val="00D20ADA"/>
    <w:rsid w:val="00D21813"/>
    <w:rsid w:val="00D21D9F"/>
    <w:rsid w:val="00D2253A"/>
    <w:rsid w:val="00D2286C"/>
    <w:rsid w:val="00D23E2D"/>
    <w:rsid w:val="00D2417F"/>
    <w:rsid w:val="00D2451C"/>
    <w:rsid w:val="00D25D59"/>
    <w:rsid w:val="00D26299"/>
    <w:rsid w:val="00D26576"/>
    <w:rsid w:val="00D27092"/>
    <w:rsid w:val="00D27191"/>
    <w:rsid w:val="00D31B1B"/>
    <w:rsid w:val="00D32AB9"/>
    <w:rsid w:val="00D32D72"/>
    <w:rsid w:val="00D34B31"/>
    <w:rsid w:val="00D34EA5"/>
    <w:rsid w:val="00D3502E"/>
    <w:rsid w:val="00D351A3"/>
    <w:rsid w:val="00D35429"/>
    <w:rsid w:val="00D35AFF"/>
    <w:rsid w:val="00D35EE6"/>
    <w:rsid w:val="00D37BC5"/>
    <w:rsid w:val="00D402BC"/>
    <w:rsid w:val="00D40F30"/>
    <w:rsid w:val="00D42116"/>
    <w:rsid w:val="00D42140"/>
    <w:rsid w:val="00D4433B"/>
    <w:rsid w:val="00D44937"/>
    <w:rsid w:val="00D45D3C"/>
    <w:rsid w:val="00D45D76"/>
    <w:rsid w:val="00D45E5E"/>
    <w:rsid w:val="00D4619B"/>
    <w:rsid w:val="00D50062"/>
    <w:rsid w:val="00D50142"/>
    <w:rsid w:val="00D5190D"/>
    <w:rsid w:val="00D529EA"/>
    <w:rsid w:val="00D52F37"/>
    <w:rsid w:val="00D52FD5"/>
    <w:rsid w:val="00D53073"/>
    <w:rsid w:val="00D53A46"/>
    <w:rsid w:val="00D542A0"/>
    <w:rsid w:val="00D552D0"/>
    <w:rsid w:val="00D552F8"/>
    <w:rsid w:val="00D56428"/>
    <w:rsid w:val="00D5677A"/>
    <w:rsid w:val="00D57C6C"/>
    <w:rsid w:val="00D57EC7"/>
    <w:rsid w:val="00D60D30"/>
    <w:rsid w:val="00D6199C"/>
    <w:rsid w:val="00D6302C"/>
    <w:rsid w:val="00D63B31"/>
    <w:rsid w:val="00D64DF6"/>
    <w:rsid w:val="00D6521D"/>
    <w:rsid w:val="00D65A47"/>
    <w:rsid w:val="00D660B5"/>
    <w:rsid w:val="00D661FE"/>
    <w:rsid w:val="00D674BE"/>
    <w:rsid w:val="00D67784"/>
    <w:rsid w:val="00D67BA0"/>
    <w:rsid w:val="00D70720"/>
    <w:rsid w:val="00D71E91"/>
    <w:rsid w:val="00D71FFC"/>
    <w:rsid w:val="00D730FB"/>
    <w:rsid w:val="00D73C6E"/>
    <w:rsid w:val="00D74D9F"/>
    <w:rsid w:val="00D75389"/>
    <w:rsid w:val="00D76259"/>
    <w:rsid w:val="00D76428"/>
    <w:rsid w:val="00D76514"/>
    <w:rsid w:val="00D76D71"/>
    <w:rsid w:val="00D80428"/>
    <w:rsid w:val="00D831B5"/>
    <w:rsid w:val="00D83B71"/>
    <w:rsid w:val="00D83D67"/>
    <w:rsid w:val="00D83F10"/>
    <w:rsid w:val="00D84685"/>
    <w:rsid w:val="00D85A78"/>
    <w:rsid w:val="00D86C36"/>
    <w:rsid w:val="00D86CF8"/>
    <w:rsid w:val="00D9029F"/>
    <w:rsid w:val="00D90654"/>
    <w:rsid w:val="00D91072"/>
    <w:rsid w:val="00D913BD"/>
    <w:rsid w:val="00D91F3C"/>
    <w:rsid w:val="00D91F92"/>
    <w:rsid w:val="00D936B2"/>
    <w:rsid w:val="00D967E7"/>
    <w:rsid w:val="00D97775"/>
    <w:rsid w:val="00D9796F"/>
    <w:rsid w:val="00DA079A"/>
    <w:rsid w:val="00DA0A97"/>
    <w:rsid w:val="00DA17E2"/>
    <w:rsid w:val="00DA2C66"/>
    <w:rsid w:val="00DA6005"/>
    <w:rsid w:val="00DB0261"/>
    <w:rsid w:val="00DB15F2"/>
    <w:rsid w:val="00DB1F8B"/>
    <w:rsid w:val="00DB238D"/>
    <w:rsid w:val="00DB3ED6"/>
    <w:rsid w:val="00DB4B03"/>
    <w:rsid w:val="00DB5DD4"/>
    <w:rsid w:val="00DB6ADE"/>
    <w:rsid w:val="00DB7563"/>
    <w:rsid w:val="00DB7609"/>
    <w:rsid w:val="00DC069E"/>
    <w:rsid w:val="00DC0D97"/>
    <w:rsid w:val="00DC1A45"/>
    <w:rsid w:val="00DC2EEC"/>
    <w:rsid w:val="00DC40A4"/>
    <w:rsid w:val="00DC4287"/>
    <w:rsid w:val="00DC5724"/>
    <w:rsid w:val="00DC67CE"/>
    <w:rsid w:val="00DC7196"/>
    <w:rsid w:val="00DD04CD"/>
    <w:rsid w:val="00DD0D94"/>
    <w:rsid w:val="00DD1D39"/>
    <w:rsid w:val="00DD31F5"/>
    <w:rsid w:val="00DD3469"/>
    <w:rsid w:val="00DD34EE"/>
    <w:rsid w:val="00DD3FB7"/>
    <w:rsid w:val="00DD4691"/>
    <w:rsid w:val="00DD5C79"/>
    <w:rsid w:val="00DD6FB6"/>
    <w:rsid w:val="00DE03C8"/>
    <w:rsid w:val="00DE0773"/>
    <w:rsid w:val="00DE0A3E"/>
    <w:rsid w:val="00DE12F8"/>
    <w:rsid w:val="00DE1D4D"/>
    <w:rsid w:val="00DE1F14"/>
    <w:rsid w:val="00DE2D3B"/>
    <w:rsid w:val="00DE3043"/>
    <w:rsid w:val="00DE47C3"/>
    <w:rsid w:val="00DE4D53"/>
    <w:rsid w:val="00DE526C"/>
    <w:rsid w:val="00DE7983"/>
    <w:rsid w:val="00DF17CC"/>
    <w:rsid w:val="00DF3198"/>
    <w:rsid w:val="00DF3698"/>
    <w:rsid w:val="00DF3C13"/>
    <w:rsid w:val="00DF4778"/>
    <w:rsid w:val="00DF50E7"/>
    <w:rsid w:val="00DF5DC7"/>
    <w:rsid w:val="00DF5F9C"/>
    <w:rsid w:val="00DF6778"/>
    <w:rsid w:val="00DF71F8"/>
    <w:rsid w:val="00DF7946"/>
    <w:rsid w:val="00E001AB"/>
    <w:rsid w:val="00E02265"/>
    <w:rsid w:val="00E02715"/>
    <w:rsid w:val="00E02836"/>
    <w:rsid w:val="00E0486E"/>
    <w:rsid w:val="00E048DA"/>
    <w:rsid w:val="00E060C3"/>
    <w:rsid w:val="00E06608"/>
    <w:rsid w:val="00E0711D"/>
    <w:rsid w:val="00E0756F"/>
    <w:rsid w:val="00E07FD3"/>
    <w:rsid w:val="00E10082"/>
    <w:rsid w:val="00E11A49"/>
    <w:rsid w:val="00E126B8"/>
    <w:rsid w:val="00E15B56"/>
    <w:rsid w:val="00E2018F"/>
    <w:rsid w:val="00E20335"/>
    <w:rsid w:val="00E2062A"/>
    <w:rsid w:val="00E2159B"/>
    <w:rsid w:val="00E22B42"/>
    <w:rsid w:val="00E22E2E"/>
    <w:rsid w:val="00E23001"/>
    <w:rsid w:val="00E23BA6"/>
    <w:rsid w:val="00E24AC8"/>
    <w:rsid w:val="00E25087"/>
    <w:rsid w:val="00E2608B"/>
    <w:rsid w:val="00E26649"/>
    <w:rsid w:val="00E272C6"/>
    <w:rsid w:val="00E311A5"/>
    <w:rsid w:val="00E3165D"/>
    <w:rsid w:val="00E32767"/>
    <w:rsid w:val="00E32E8B"/>
    <w:rsid w:val="00E33DF0"/>
    <w:rsid w:val="00E33DF2"/>
    <w:rsid w:val="00E34E7A"/>
    <w:rsid w:val="00E36EE8"/>
    <w:rsid w:val="00E37E01"/>
    <w:rsid w:val="00E37EC5"/>
    <w:rsid w:val="00E411CC"/>
    <w:rsid w:val="00E43DF7"/>
    <w:rsid w:val="00E45129"/>
    <w:rsid w:val="00E459C0"/>
    <w:rsid w:val="00E47C29"/>
    <w:rsid w:val="00E47E4C"/>
    <w:rsid w:val="00E504AD"/>
    <w:rsid w:val="00E51103"/>
    <w:rsid w:val="00E5182D"/>
    <w:rsid w:val="00E51E20"/>
    <w:rsid w:val="00E52370"/>
    <w:rsid w:val="00E526CC"/>
    <w:rsid w:val="00E5515C"/>
    <w:rsid w:val="00E55632"/>
    <w:rsid w:val="00E558CE"/>
    <w:rsid w:val="00E562A2"/>
    <w:rsid w:val="00E56911"/>
    <w:rsid w:val="00E573A2"/>
    <w:rsid w:val="00E57464"/>
    <w:rsid w:val="00E575E0"/>
    <w:rsid w:val="00E57691"/>
    <w:rsid w:val="00E57B6C"/>
    <w:rsid w:val="00E607EF"/>
    <w:rsid w:val="00E617CF"/>
    <w:rsid w:val="00E619C1"/>
    <w:rsid w:val="00E61CAB"/>
    <w:rsid w:val="00E61E5C"/>
    <w:rsid w:val="00E61F30"/>
    <w:rsid w:val="00E62544"/>
    <w:rsid w:val="00E64B2B"/>
    <w:rsid w:val="00E656F0"/>
    <w:rsid w:val="00E65930"/>
    <w:rsid w:val="00E660B4"/>
    <w:rsid w:val="00E70E54"/>
    <w:rsid w:val="00E7178C"/>
    <w:rsid w:val="00E71AF9"/>
    <w:rsid w:val="00E71D90"/>
    <w:rsid w:val="00E74619"/>
    <w:rsid w:val="00E7527E"/>
    <w:rsid w:val="00E75BE7"/>
    <w:rsid w:val="00E75CDD"/>
    <w:rsid w:val="00E75F15"/>
    <w:rsid w:val="00E76F27"/>
    <w:rsid w:val="00E828B8"/>
    <w:rsid w:val="00E83D97"/>
    <w:rsid w:val="00E8580A"/>
    <w:rsid w:val="00E87E40"/>
    <w:rsid w:val="00E90424"/>
    <w:rsid w:val="00E909FF"/>
    <w:rsid w:val="00E90AC0"/>
    <w:rsid w:val="00E9137E"/>
    <w:rsid w:val="00E947AC"/>
    <w:rsid w:val="00E94967"/>
    <w:rsid w:val="00E95406"/>
    <w:rsid w:val="00E9686C"/>
    <w:rsid w:val="00E97F2C"/>
    <w:rsid w:val="00EA04F9"/>
    <w:rsid w:val="00EA200F"/>
    <w:rsid w:val="00EA2859"/>
    <w:rsid w:val="00EA2955"/>
    <w:rsid w:val="00EA4787"/>
    <w:rsid w:val="00EA66EE"/>
    <w:rsid w:val="00EA7ED7"/>
    <w:rsid w:val="00EB108A"/>
    <w:rsid w:val="00EB1A1F"/>
    <w:rsid w:val="00EB36F6"/>
    <w:rsid w:val="00EB3D78"/>
    <w:rsid w:val="00EC076D"/>
    <w:rsid w:val="00EC0921"/>
    <w:rsid w:val="00EC1272"/>
    <w:rsid w:val="00EC25DB"/>
    <w:rsid w:val="00EC272C"/>
    <w:rsid w:val="00EC2B94"/>
    <w:rsid w:val="00EC406F"/>
    <w:rsid w:val="00EC4B9A"/>
    <w:rsid w:val="00EC5482"/>
    <w:rsid w:val="00EC7A6A"/>
    <w:rsid w:val="00ED1851"/>
    <w:rsid w:val="00ED6059"/>
    <w:rsid w:val="00ED61F0"/>
    <w:rsid w:val="00ED69B9"/>
    <w:rsid w:val="00ED6F50"/>
    <w:rsid w:val="00EE0F98"/>
    <w:rsid w:val="00EE100D"/>
    <w:rsid w:val="00EE1BB0"/>
    <w:rsid w:val="00EE227B"/>
    <w:rsid w:val="00EE351E"/>
    <w:rsid w:val="00EE372C"/>
    <w:rsid w:val="00EE3B35"/>
    <w:rsid w:val="00EE3EC3"/>
    <w:rsid w:val="00EE57DF"/>
    <w:rsid w:val="00EE60A5"/>
    <w:rsid w:val="00EE6212"/>
    <w:rsid w:val="00EE63BF"/>
    <w:rsid w:val="00EE7870"/>
    <w:rsid w:val="00EF03E1"/>
    <w:rsid w:val="00EF07E4"/>
    <w:rsid w:val="00EF136A"/>
    <w:rsid w:val="00EF136C"/>
    <w:rsid w:val="00EF314A"/>
    <w:rsid w:val="00EF43EE"/>
    <w:rsid w:val="00EF4BD0"/>
    <w:rsid w:val="00EF4E42"/>
    <w:rsid w:val="00EF5002"/>
    <w:rsid w:val="00EF5593"/>
    <w:rsid w:val="00EF587C"/>
    <w:rsid w:val="00EF6641"/>
    <w:rsid w:val="00EF75AA"/>
    <w:rsid w:val="00EF7B2F"/>
    <w:rsid w:val="00F00428"/>
    <w:rsid w:val="00F00432"/>
    <w:rsid w:val="00F01090"/>
    <w:rsid w:val="00F02675"/>
    <w:rsid w:val="00F03606"/>
    <w:rsid w:val="00F038E1"/>
    <w:rsid w:val="00F049FC"/>
    <w:rsid w:val="00F07C06"/>
    <w:rsid w:val="00F07E78"/>
    <w:rsid w:val="00F10336"/>
    <w:rsid w:val="00F105E9"/>
    <w:rsid w:val="00F10B85"/>
    <w:rsid w:val="00F10D61"/>
    <w:rsid w:val="00F11892"/>
    <w:rsid w:val="00F1191D"/>
    <w:rsid w:val="00F11EE2"/>
    <w:rsid w:val="00F12036"/>
    <w:rsid w:val="00F1230C"/>
    <w:rsid w:val="00F12543"/>
    <w:rsid w:val="00F126B1"/>
    <w:rsid w:val="00F139DB"/>
    <w:rsid w:val="00F14246"/>
    <w:rsid w:val="00F15635"/>
    <w:rsid w:val="00F177F0"/>
    <w:rsid w:val="00F17F36"/>
    <w:rsid w:val="00F20489"/>
    <w:rsid w:val="00F21E2C"/>
    <w:rsid w:val="00F21EB9"/>
    <w:rsid w:val="00F22B2D"/>
    <w:rsid w:val="00F23F9B"/>
    <w:rsid w:val="00F24436"/>
    <w:rsid w:val="00F2450A"/>
    <w:rsid w:val="00F25BF8"/>
    <w:rsid w:val="00F26B02"/>
    <w:rsid w:val="00F27C10"/>
    <w:rsid w:val="00F30C96"/>
    <w:rsid w:val="00F3153C"/>
    <w:rsid w:val="00F32C90"/>
    <w:rsid w:val="00F334E1"/>
    <w:rsid w:val="00F340EF"/>
    <w:rsid w:val="00F34346"/>
    <w:rsid w:val="00F3469E"/>
    <w:rsid w:val="00F3523A"/>
    <w:rsid w:val="00F3547E"/>
    <w:rsid w:val="00F36E5D"/>
    <w:rsid w:val="00F37F52"/>
    <w:rsid w:val="00F4057D"/>
    <w:rsid w:val="00F4189A"/>
    <w:rsid w:val="00F41E6A"/>
    <w:rsid w:val="00F42252"/>
    <w:rsid w:val="00F43993"/>
    <w:rsid w:val="00F444A5"/>
    <w:rsid w:val="00F4464C"/>
    <w:rsid w:val="00F44920"/>
    <w:rsid w:val="00F4495C"/>
    <w:rsid w:val="00F44BC5"/>
    <w:rsid w:val="00F44D55"/>
    <w:rsid w:val="00F44E70"/>
    <w:rsid w:val="00F45C54"/>
    <w:rsid w:val="00F464D6"/>
    <w:rsid w:val="00F4774B"/>
    <w:rsid w:val="00F51EBD"/>
    <w:rsid w:val="00F52F83"/>
    <w:rsid w:val="00F53C42"/>
    <w:rsid w:val="00F53D5A"/>
    <w:rsid w:val="00F540A9"/>
    <w:rsid w:val="00F55E90"/>
    <w:rsid w:val="00F57495"/>
    <w:rsid w:val="00F577BC"/>
    <w:rsid w:val="00F57C5B"/>
    <w:rsid w:val="00F57F1D"/>
    <w:rsid w:val="00F60728"/>
    <w:rsid w:val="00F60A91"/>
    <w:rsid w:val="00F61B35"/>
    <w:rsid w:val="00F61D3C"/>
    <w:rsid w:val="00F61ED9"/>
    <w:rsid w:val="00F61F7D"/>
    <w:rsid w:val="00F63C2A"/>
    <w:rsid w:val="00F645BE"/>
    <w:rsid w:val="00F64A1E"/>
    <w:rsid w:val="00F64D54"/>
    <w:rsid w:val="00F65C07"/>
    <w:rsid w:val="00F66F42"/>
    <w:rsid w:val="00F6744D"/>
    <w:rsid w:val="00F67554"/>
    <w:rsid w:val="00F67957"/>
    <w:rsid w:val="00F70417"/>
    <w:rsid w:val="00F7107B"/>
    <w:rsid w:val="00F72384"/>
    <w:rsid w:val="00F7245A"/>
    <w:rsid w:val="00F73536"/>
    <w:rsid w:val="00F73BD9"/>
    <w:rsid w:val="00F74106"/>
    <w:rsid w:val="00F753AE"/>
    <w:rsid w:val="00F762CC"/>
    <w:rsid w:val="00F76B75"/>
    <w:rsid w:val="00F76D65"/>
    <w:rsid w:val="00F77085"/>
    <w:rsid w:val="00F77116"/>
    <w:rsid w:val="00F804E7"/>
    <w:rsid w:val="00F80FEC"/>
    <w:rsid w:val="00F81902"/>
    <w:rsid w:val="00F82AB1"/>
    <w:rsid w:val="00F830A0"/>
    <w:rsid w:val="00F92C55"/>
    <w:rsid w:val="00F93470"/>
    <w:rsid w:val="00F93701"/>
    <w:rsid w:val="00F949C5"/>
    <w:rsid w:val="00F9624E"/>
    <w:rsid w:val="00F96670"/>
    <w:rsid w:val="00F96E0F"/>
    <w:rsid w:val="00F97606"/>
    <w:rsid w:val="00FA10F3"/>
    <w:rsid w:val="00FA111D"/>
    <w:rsid w:val="00FA152B"/>
    <w:rsid w:val="00FA2CC4"/>
    <w:rsid w:val="00FA4362"/>
    <w:rsid w:val="00FA6A6A"/>
    <w:rsid w:val="00FA6A84"/>
    <w:rsid w:val="00FA6A98"/>
    <w:rsid w:val="00FA6F41"/>
    <w:rsid w:val="00FA7D4E"/>
    <w:rsid w:val="00FB1B86"/>
    <w:rsid w:val="00FB2C06"/>
    <w:rsid w:val="00FB2F42"/>
    <w:rsid w:val="00FB43EC"/>
    <w:rsid w:val="00FB5225"/>
    <w:rsid w:val="00FB560A"/>
    <w:rsid w:val="00FB6C52"/>
    <w:rsid w:val="00FB7ECD"/>
    <w:rsid w:val="00FC12E3"/>
    <w:rsid w:val="00FC1508"/>
    <w:rsid w:val="00FC28AE"/>
    <w:rsid w:val="00FC3D9B"/>
    <w:rsid w:val="00FC68F8"/>
    <w:rsid w:val="00FD0CB4"/>
    <w:rsid w:val="00FD17F9"/>
    <w:rsid w:val="00FD31E6"/>
    <w:rsid w:val="00FD62A0"/>
    <w:rsid w:val="00FD6391"/>
    <w:rsid w:val="00FD6DAF"/>
    <w:rsid w:val="00FE02B1"/>
    <w:rsid w:val="00FE0777"/>
    <w:rsid w:val="00FE0843"/>
    <w:rsid w:val="00FE0A00"/>
    <w:rsid w:val="00FE1C71"/>
    <w:rsid w:val="00FE2B74"/>
    <w:rsid w:val="00FE2BF5"/>
    <w:rsid w:val="00FE2CB8"/>
    <w:rsid w:val="00FE3AB8"/>
    <w:rsid w:val="00FE3B9D"/>
    <w:rsid w:val="00FE534B"/>
    <w:rsid w:val="00FE549C"/>
    <w:rsid w:val="00FE563C"/>
    <w:rsid w:val="00FE5B2E"/>
    <w:rsid w:val="00FE5E93"/>
    <w:rsid w:val="00FE5FE6"/>
    <w:rsid w:val="00FE63B3"/>
    <w:rsid w:val="00FE7059"/>
    <w:rsid w:val="00FE7598"/>
    <w:rsid w:val="00FE7ECC"/>
    <w:rsid w:val="00FF0690"/>
    <w:rsid w:val="00FF0C3C"/>
    <w:rsid w:val="00FF2903"/>
    <w:rsid w:val="00FF399A"/>
    <w:rsid w:val="00FF4105"/>
    <w:rsid w:val="00FF4EE8"/>
    <w:rsid w:val="00FF5437"/>
    <w:rsid w:val="00FF69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o:colormenu v:ext="edit" strokecolor="none"/>
    </o:shapedefaults>
    <o:shapelayout v:ext="edit">
      <o:idmap v:ext="edit" data="1"/>
    </o:shapelayout>
  </w:shapeDefaults>
  <w:decimalSymbol w:val="."/>
  <w:listSeparator w:val=";"/>
  <w14:docId w14:val="62535182"/>
  <w15:docId w15:val="{7834EB6E-F68E-4002-9DE3-7BC5D240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2CB8"/>
    <w:pPr>
      <w:overflowPunct w:val="0"/>
      <w:autoSpaceDE w:val="0"/>
      <w:autoSpaceDN w:val="0"/>
      <w:adjustRightInd w:val="0"/>
      <w:textAlignment w:val="baseline"/>
    </w:pPr>
  </w:style>
  <w:style w:type="paragraph" w:styleId="Heading1">
    <w:name w:val="heading 1"/>
    <w:basedOn w:val="Normal"/>
    <w:next w:val="Normal"/>
    <w:link w:val="Heading1Char"/>
    <w:uiPriority w:val="9"/>
    <w:qFormat/>
    <w:rsid w:val="00FE2CB8"/>
    <w:pPr>
      <w:keepNext/>
      <w:overflowPunct/>
      <w:adjustRightInd/>
      <w:textAlignment w:val="auto"/>
      <w:outlineLvl w:val="0"/>
    </w:pPr>
    <w:rPr>
      <w:b/>
      <w:bCs/>
      <w:sz w:val="32"/>
      <w:szCs w:val="24"/>
    </w:rPr>
  </w:style>
  <w:style w:type="paragraph" w:styleId="Heading2">
    <w:name w:val="heading 2"/>
    <w:basedOn w:val="Normal"/>
    <w:next w:val="Normal"/>
    <w:link w:val="Heading2Char"/>
    <w:uiPriority w:val="9"/>
    <w:qFormat/>
    <w:rsid w:val="00FE2CB8"/>
    <w:pPr>
      <w:keepNext/>
      <w:overflowPunct/>
      <w:autoSpaceDE/>
      <w:autoSpaceDN/>
      <w:adjustRightInd/>
      <w:ind w:left="162"/>
      <w:jc w:val="center"/>
      <w:textAlignment w:val="auto"/>
      <w:outlineLvl w:val="1"/>
    </w:pPr>
    <w:rPr>
      <w:rFonts w:cs="Traditional Arabic"/>
      <w:b/>
      <w:bCs/>
      <w:noProof/>
      <w:sz w:val="18"/>
      <w:szCs w:val="21"/>
    </w:rPr>
  </w:style>
  <w:style w:type="paragraph" w:styleId="Heading3">
    <w:name w:val="heading 3"/>
    <w:basedOn w:val="Normal"/>
    <w:next w:val="Normal"/>
    <w:link w:val="Heading3Char"/>
    <w:uiPriority w:val="9"/>
    <w:qFormat/>
    <w:rsid w:val="00FE2CB8"/>
    <w:pPr>
      <w:keepNext/>
      <w:outlineLvl w:val="2"/>
    </w:pPr>
    <w:rPr>
      <w:rFonts w:cs="Traditional Arabic"/>
      <w:b/>
      <w:bCs/>
      <w:sz w:val="24"/>
      <w:szCs w:val="24"/>
    </w:rPr>
  </w:style>
  <w:style w:type="paragraph" w:styleId="Heading4">
    <w:name w:val="heading 4"/>
    <w:basedOn w:val="Normal"/>
    <w:next w:val="Normal"/>
    <w:link w:val="Heading4Char"/>
    <w:uiPriority w:val="9"/>
    <w:qFormat/>
    <w:rsid w:val="00FE2CB8"/>
    <w:pPr>
      <w:keepNext/>
      <w:outlineLvl w:val="3"/>
    </w:pPr>
    <w:rPr>
      <w:b/>
      <w:bCs/>
    </w:rPr>
  </w:style>
  <w:style w:type="paragraph" w:styleId="Heading5">
    <w:name w:val="heading 5"/>
    <w:basedOn w:val="Normal"/>
    <w:next w:val="Normal"/>
    <w:link w:val="Heading5Char"/>
    <w:uiPriority w:val="9"/>
    <w:qFormat/>
    <w:rsid w:val="00FE2CB8"/>
    <w:pPr>
      <w:keepNext/>
      <w:overflowPunct/>
      <w:autoSpaceDE/>
      <w:autoSpaceDN/>
      <w:adjustRightInd/>
      <w:jc w:val="center"/>
      <w:textAlignment w:val="auto"/>
      <w:outlineLvl w:val="4"/>
    </w:pPr>
    <w:rPr>
      <w:rFonts w:cs="Traditional Arabic"/>
      <w:b/>
      <w:bCs/>
      <w:noProof/>
      <w:sz w:val="28"/>
      <w:szCs w:val="33"/>
    </w:rPr>
  </w:style>
  <w:style w:type="paragraph" w:styleId="Heading6">
    <w:name w:val="heading 6"/>
    <w:basedOn w:val="Normal"/>
    <w:next w:val="Normal"/>
    <w:link w:val="Heading6Char"/>
    <w:uiPriority w:val="9"/>
    <w:qFormat/>
    <w:rsid w:val="00FE2CB8"/>
    <w:pPr>
      <w:keepNext/>
      <w:overflowPunct/>
      <w:autoSpaceDE/>
      <w:autoSpaceDN/>
      <w:bidi/>
      <w:adjustRightInd/>
      <w:ind w:right="176"/>
      <w:jc w:val="right"/>
      <w:textAlignment w:val="auto"/>
      <w:outlineLvl w:val="5"/>
    </w:pPr>
    <w:rPr>
      <w:rFonts w:cs="Traditional Arabic"/>
      <w:b/>
      <w:bCs/>
      <w:noProof/>
      <w:sz w:val="18"/>
      <w:szCs w:val="21"/>
    </w:rPr>
  </w:style>
  <w:style w:type="paragraph" w:styleId="Heading7">
    <w:name w:val="heading 7"/>
    <w:basedOn w:val="Normal"/>
    <w:next w:val="Normal"/>
    <w:link w:val="Heading7Char"/>
    <w:uiPriority w:val="9"/>
    <w:qFormat/>
    <w:rsid w:val="00FE2CB8"/>
    <w:pPr>
      <w:keepNext/>
      <w:overflowPunct/>
      <w:autoSpaceDE/>
      <w:autoSpaceDN/>
      <w:adjustRightInd/>
      <w:textAlignment w:val="auto"/>
      <w:outlineLvl w:val="6"/>
    </w:pPr>
    <w:rPr>
      <w:rFonts w:cs="Traditional Arabic"/>
      <w:b/>
      <w:bCs/>
      <w:noProof/>
      <w:sz w:val="18"/>
      <w:szCs w:val="21"/>
    </w:rPr>
  </w:style>
  <w:style w:type="paragraph" w:styleId="Heading9">
    <w:name w:val="heading 9"/>
    <w:basedOn w:val="Normal"/>
    <w:next w:val="Normal"/>
    <w:link w:val="Heading9Char"/>
    <w:uiPriority w:val="9"/>
    <w:semiHidden/>
    <w:unhideWhenUsed/>
    <w:qFormat/>
    <w:rsid w:val="001F2744"/>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4532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locked/>
    <w:rsid w:val="00B4532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locked/>
    <w:rsid w:val="00B4532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sid w:val="00B4532E"/>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sid w:val="00B4532E"/>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sid w:val="00B4532E"/>
    <w:rPr>
      <w:rFonts w:asciiTheme="minorHAnsi" w:eastAsiaTheme="minorEastAsia" w:hAnsiTheme="minorHAnsi" w:cstheme="minorBidi"/>
      <w:b/>
      <w:bCs/>
      <w:sz w:val="22"/>
      <w:szCs w:val="22"/>
    </w:rPr>
  </w:style>
  <w:style w:type="character" w:customStyle="1" w:styleId="Heading7Char">
    <w:name w:val="Heading 7 Char"/>
    <w:basedOn w:val="DefaultParagraphFont"/>
    <w:link w:val="Heading7"/>
    <w:uiPriority w:val="9"/>
    <w:semiHidden/>
    <w:locked/>
    <w:rsid w:val="00B4532E"/>
    <w:rPr>
      <w:rFonts w:asciiTheme="minorHAnsi" w:eastAsiaTheme="minorEastAsia" w:hAnsiTheme="minorHAnsi" w:cstheme="minorBidi"/>
      <w:sz w:val="24"/>
      <w:szCs w:val="24"/>
    </w:rPr>
  </w:style>
  <w:style w:type="character" w:customStyle="1" w:styleId="Heading9Char">
    <w:name w:val="Heading 9 Char"/>
    <w:basedOn w:val="DefaultParagraphFont"/>
    <w:link w:val="Heading9"/>
    <w:uiPriority w:val="9"/>
    <w:semiHidden/>
    <w:locked/>
    <w:rsid w:val="001F2744"/>
    <w:rPr>
      <w:rFonts w:ascii="Cambria" w:hAnsi="Cambria" w:cs="Times New Roman"/>
      <w:sz w:val="22"/>
      <w:szCs w:val="22"/>
    </w:rPr>
  </w:style>
  <w:style w:type="paragraph" w:styleId="Header">
    <w:name w:val="header"/>
    <w:basedOn w:val="Normal"/>
    <w:link w:val="HeaderChar"/>
    <w:uiPriority w:val="99"/>
    <w:rsid w:val="00FE2CB8"/>
    <w:pPr>
      <w:tabs>
        <w:tab w:val="center" w:pos="4153"/>
        <w:tab w:val="right" w:pos="8306"/>
      </w:tabs>
    </w:pPr>
  </w:style>
  <w:style w:type="character" w:customStyle="1" w:styleId="HeaderChar">
    <w:name w:val="Header Char"/>
    <w:basedOn w:val="DefaultParagraphFont"/>
    <w:link w:val="Header"/>
    <w:uiPriority w:val="99"/>
    <w:locked/>
    <w:rsid w:val="00B5698C"/>
    <w:rPr>
      <w:rFonts w:cs="Times New Roman"/>
    </w:rPr>
  </w:style>
  <w:style w:type="paragraph" w:styleId="Footer">
    <w:name w:val="footer"/>
    <w:basedOn w:val="Normal"/>
    <w:link w:val="FooterChar"/>
    <w:uiPriority w:val="99"/>
    <w:rsid w:val="00FE2CB8"/>
    <w:pPr>
      <w:tabs>
        <w:tab w:val="center" w:pos="4153"/>
        <w:tab w:val="right" w:pos="8306"/>
      </w:tabs>
    </w:pPr>
  </w:style>
  <w:style w:type="character" w:customStyle="1" w:styleId="FooterChar">
    <w:name w:val="Footer Char"/>
    <w:basedOn w:val="DefaultParagraphFont"/>
    <w:link w:val="Footer"/>
    <w:uiPriority w:val="99"/>
    <w:locked/>
    <w:rsid w:val="00940590"/>
    <w:rPr>
      <w:rFonts w:cs="Times New Roman"/>
    </w:rPr>
  </w:style>
  <w:style w:type="paragraph" w:styleId="Title">
    <w:name w:val="Title"/>
    <w:basedOn w:val="Normal"/>
    <w:link w:val="TitleChar"/>
    <w:uiPriority w:val="10"/>
    <w:qFormat/>
    <w:rsid w:val="00FE2CB8"/>
    <w:pPr>
      <w:overflowPunct/>
      <w:autoSpaceDE/>
      <w:autoSpaceDN/>
      <w:bidi/>
      <w:adjustRightInd/>
      <w:jc w:val="center"/>
      <w:textAlignment w:val="auto"/>
    </w:pPr>
    <w:rPr>
      <w:rFonts w:cs="Simplified Arabic"/>
      <w:b/>
      <w:bCs/>
      <w:noProof/>
      <w:sz w:val="24"/>
      <w:szCs w:val="28"/>
    </w:rPr>
  </w:style>
  <w:style w:type="character" w:customStyle="1" w:styleId="TitleChar">
    <w:name w:val="Title Char"/>
    <w:basedOn w:val="DefaultParagraphFont"/>
    <w:link w:val="Title"/>
    <w:uiPriority w:val="10"/>
    <w:locked/>
    <w:rsid w:val="008625AF"/>
    <w:rPr>
      <w:rFonts w:cs="Simplified Arabic"/>
      <w:b/>
      <w:bCs/>
      <w:noProof/>
      <w:sz w:val="28"/>
      <w:szCs w:val="28"/>
    </w:rPr>
  </w:style>
  <w:style w:type="paragraph" w:customStyle="1" w:styleId="H1">
    <w:name w:val="H1"/>
    <w:basedOn w:val="Normal"/>
    <w:next w:val="Normal"/>
    <w:rsid w:val="00FE2CB8"/>
    <w:pPr>
      <w:keepNext/>
      <w:overflowPunct/>
      <w:adjustRightInd/>
      <w:spacing w:before="100" w:after="100"/>
      <w:textAlignment w:val="auto"/>
      <w:outlineLvl w:val="1"/>
    </w:pPr>
    <w:rPr>
      <w:b/>
      <w:bCs/>
      <w:kern w:val="36"/>
      <w:sz w:val="48"/>
      <w:szCs w:val="48"/>
    </w:rPr>
  </w:style>
  <w:style w:type="paragraph" w:styleId="Subtitle">
    <w:name w:val="Subtitle"/>
    <w:basedOn w:val="Normal"/>
    <w:link w:val="SubtitleChar"/>
    <w:uiPriority w:val="11"/>
    <w:qFormat/>
    <w:rsid w:val="00FE2CB8"/>
    <w:pPr>
      <w:ind w:left="135"/>
      <w:jc w:val="center"/>
    </w:pPr>
    <w:rPr>
      <w:rFonts w:cs="Traditional Arabic"/>
      <w:b/>
      <w:bCs/>
      <w:sz w:val="28"/>
      <w:szCs w:val="28"/>
    </w:rPr>
  </w:style>
  <w:style w:type="character" w:customStyle="1" w:styleId="SubtitleChar">
    <w:name w:val="Subtitle Char"/>
    <w:basedOn w:val="DefaultParagraphFont"/>
    <w:link w:val="Subtitle"/>
    <w:uiPriority w:val="11"/>
    <w:locked/>
    <w:rsid w:val="00B4532E"/>
    <w:rPr>
      <w:rFonts w:asciiTheme="majorHAnsi" w:eastAsiaTheme="majorEastAsia" w:hAnsiTheme="majorHAnsi" w:cstheme="majorBidi"/>
      <w:sz w:val="24"/>
      <w:szCs w:val="24"/>
    </w:rPr>
  </w:style>
  <w:style w:type="paragraph" w:styleId="BodyText">
    <w:name w:val="Body Text"/>
    <w:basedOn w:val="Normal"/>
    <w:link w:val="BodyTextChar"/>
    <w:uiPriority w:val="99"/>
    <w:semiHidden/>
    <w:rsid w:val="00FE2CB8"/>
    <w:pPr>
      <w:jc w:val="both"/>
    </w:pPr>
    <w:rPr>
      <w:rFonts w:cs="Traditional Arabic"/>
    </w:rPr>
  </w:style>
  <w:style w:type="character" w:customStyle="1" w:styleId="BodyTextChar">
    <w:name w:val="Body Text Char"/>
    <w:basedOn w:val="DefaultParagraphFont"/>
    <w:link w:val="BodyText"/>
    <w:uiPriority w:val="99"/>
    <w:semiHidden/>
    <w:locked/>
    <w:rsid w:val="00DC4287"/>
    <w:rPr>
      <w:rFonts w:cs="Traditional Arabic"/>
    </w:rPr>
  </w:style>
  <w:style w:type="character" w:styleId="PageNumber">
    <w:name w:val="page number"/>
    <w:basedOn w:val="DefaultParagraphFont"/>
    <w:uiPriority w:val="99"/>
    <w:semiHidden/>
    <w:rsid w:val="00FE2CB8"/>
    <w:rPr>
      <w:rFonts w:cs="Times New Roman"/>
    </w:rPr>
  </w:style>
  <w:style w:type="paragraph" w:styleId="BodyText2">
    <w:name w:val="Body Text 2"/>
    <w:basedOn w:val="Normal"/>
    <w:link w:val="BodyText2Char"/>
    <w:uiPriority w:val="99"/>
    <w:semiHidden/>
    <w:rsid w:val="00FE2CB8"/>
    <w:pPr>
      <w:jc w:val="lowKashida"/>
    </w:pPr>
  </w:style>
  <w:style w:type="character" w:customStyle="1" w:styleId="BodyText2Char">
    <w:name w:val="Body Text 2 Char"/>
    <w:basedOn w:val="DefaultParagraphFont"/>
    <w:link w:val="BodyText2"/>
    <w:uiPriority w:val="99"/>
    <w:semiHidden/>
    <w:locked/>
    <w:rsid w:val="008625AF"/>
    <w:rPr>
      <w:rFonts w:cs="Times New Roman"/>
    </w:rPr>
  </w:style>
  <w:style w:type="paragraph" w:styleId="BodyText3">
    <w:name w:val="Body Text 3"/>
    <w:basedOn w:val="Normal"/>
    <w:link w:val="BodyText3Char"/>
    <w:uiPriority w:val="99"/>
    <w:semiHidden/>
    <w:rsid w:val="00FE2CB8"/>
    <w:pPr>
      <w:jc w:val="both"/>
    </w:pPr>
    <w:rPr>
      <w:rFonts w:cs="Traditional Arabic"/>
      <w:b/>
      <w:bCs/>
    </w:rPr>
  </w:style>
  <w:style w:type="character" w:customStyle="1" w:styleId="BodyText3Char">
    <w:name w:val="Body Text 3 Char"/>
    <w:basedOn w:val="DefaultParagraphFont"/>
    <w:link w:val="BodyText3"/>
    <w:uiPriority w:val="99"/>
    <w:semiHidden/>
    <w:locked/>
    <w:rsid w:val="000D23AB"/>
    <w:rPr>
      <w:rFonts w:cs="Traditional Arabic"/>
      <w:b/>
      <w:bCs/>
    </w:rPr>
  </w:style>
  <w:style w:type="paragraph" w:styleId="BodyTextIndent">
    <w:name w:val="Body Text Indent"/>
    <w:basedOn w:val="Normal"/>
    <w:link w:val="BodyTextIndentChar"/>
    <w:uiPriority w:val="99"/>
    <w:semiHidden/>
    <w:rsid w:val="00FE2CB8"/>
    <w:pPr>
      <w:overflowPunct/>
      <w:autoSpaceDE/>
      <w:autoSpaceDN/>
      <w:adjustRightInd/>
      <w:ind w:left="714" w:hanging="357"/>
      <w:jc w:val="lowKashida"/>
      <w:textAlignment w:val="auto"/>
    </w:pPr>
    <w:rPr>
      <w:sz w:val="24"/>
      <w:szCs w:val="24"/>
    </w:rPr>
  </w:style>
  <w:style w:type="character" w:customStyle="1" w:styleId="BodyTextIndentChar">
    <w:name w:val="Body Text Indent Char"/>
    <w:basedOn w:val="DefaultParagraphFont"/>
    <w:link w:val="BodyTextIndent"/>
    <w:uiPriority w:val="99"/>
    <w:semiHidden/>
    <w:locked/>
    <w:rsid w:val="00B4532E"/>
    <w:rPr>
      <w:rFonts w:cs="Times New Roman"/>
    </w:rPr>
  </w:style>
  <w:style w:type="paragraph" w:styleId="BodyTextIndent2">
    <w:name w:val="Body Text Indent 2"/>
    <w:basedOn w:val="Normal"/>
    <w:link w:val="BodyTextIndent2Char"/>
    <w:uiPriority w:val="99"/>
    <w:semiHidden/>
    <w:rsid w:val="00FE2CB8"/>
    <w:pPr>
      <w:ind w:left="44"/>
    </w:pPr>
  </w:style>
  <w:style w:type="character" w:customStyle="1" w:styleId="BodyTextIndent2Char">
    <w:name w:val="Body Text Indent 2 Char"/>
    <w:basedOn w:val="DefaultParagraphFont"/>
    <w:link w:val="BodyTextIndent2"/>
    <w:uiPriority w:val="99"/>
    <w:semiHidden/>
    <w:locked/>
    <w:rsid w:val="00B4532E"/>
    <w:rPr>
      <w:rFonts w:cs="Times New Roman"/>
    </w:rPr>
  </w:style>
  <w:style w:type="paragraph" w:styleId="BodyTextIndent3">
    <w:name w:val="Body Text Indent 3"/>
    <w:basedOn w:val="Normal"/>
    <w:link w:val="BodyTextIndent3Char"/>
    <w:uiPriority w:val="99"/>
    <w:semiHidden/>
    <w:rsid w:val="00FE2CB8"/>
    <w:pPr>
      <w:ind w:left="44"/>
      <w:jc w:val="lowKashida"/>
    </w:pPr>
    <w:rPr>
      <w:color w:val="000000"/>
    </w:rPr>
  </w:style>
  <w:style w:type="character" w:customStyle="1" w:styleId="BodyTextIndent3Char">
    <w:name w:val="Body Text Indent 3 Char"/>
    <w:basedOn w:val="DefaultParagraphFont"/>
    <w:link w:val="BodyTextIndent3"/>
    <w:uiPriority w:val="99"/>
    <w:semiHidden/>
    <w:locked/>
    <w:rsid w:val="00B4532E"/>
    <w:rPr>
      <w:rFonts w:cs="Times New Roman"/>
      <w:sz w:val="16"/>
      <w:szCs w:val="16"/>
    </w:rPr>
  </w:style>
  <w:style w:type="paragraph" w:styleId="BlockText">
    <w:name w:val="Block Text"/>
    <w:basedOn w:val="Normal"/>
    <w:rsid w:val="001F2744"/>
    <w:pPr>
      <w:spacing w:after="120"/>
      <w:ind w:left="1440" w:right="1440"/>
    </w:pPr>
  </w:style>
  <w:style w:type="paragraph" w:styleId="CommentText">
    <w:name w:val="annotation text"/>
    <w:basedOn w:val="Normal"/>
    <w:link w:val="CommentTextChar"/>
    <w:uiPriority w:val="99"/>
    <w:semiHidden/>
    <w:rsid w:val="001F2744"/>
  </w:style>
  <w:style w:type="character" w:customStyle="1" w:styleId="CommentTextChar">
    <w:name w:val="Comment Text Char"/>
    <w:basedOn w:val="DefaultParagraphFont"/>
    <w:link w:val="CommentText"/>
    <w:uiPriority w:val="99"/>
    <w:semiHidden/>
    <w:locked/>
    <w:rsid w:val="001F2744"/>
    <w:rPr>
      <w:rFonts w:cs="Times New Roman"/>
    </w:rPr>
  </w:style>
  <w:style w:type="paragraph" w:styleId="Index1">
    <w:name w:val="index 1"/>
    <w:basedOn w:val="Normal"/>
    <w:next w:val="Normal"/>
    <w:autoRedefine/>
    <w:uiPriority w:val="99"/>
    <w:semiHidden/>
    <w:unhideWhenUsed/>
    <w:rsid w:val="001F2744"/>
    <w:pPr>
      <w:ind w:left="200" w:hanging="200"/>
    </w:pPr>
  </w:style>
  <w:style w:type="paragraph" w:styleId="IndexHeading">
    <w:name w:val="index heading"/>
    <w:basedOn w:val="Normal"/>
    <w:next w:val="Index1"/>
    <w:uiPriority w:val="99"/>
    <w:semiHidden/>
    <w:rsid w:val="001F2744"/>
    <w:rPr>
      <w:rFonts w:ascii="Arial" w:hAnsi="Arial" w:cs="Arial"/>
      <w:b/>
      <w:bCs/>
    </w:rPr>
  </w:style>
  <w:style w:type="paragraph" w:styleId="ListParagraph">
    <w:name w:val="List Paragraph"/>
    <w:basedOn w:val="Normal"/>
    <w:uiPriority w:val="34"/>
    <w:qFormat/>
    <w:rsid w:val="001C78D5"/>
    <w:pPr>
      <w:overflowPunct/>
      <w:autoSpaceDE/>
      <w:autoSpaceDN/>
      <w:bidi/>
      <w:adjustRightInd/>
      <w:ind w:left="720"/>
      <w:textAlignment w:val="auto"/>
    </w:pPr>
    <w:rPr>
      <w:rFonts w:cs="Simplified Arabic"/>
      <w:noProof/>
      <w:sz w:val="24"/>
    </w:rPr>
  </w:style>
  <w:style w:type="paragraph" w:styleId="BalloonText">
    <w:name w:val="Balloon Text"/>
    <w:basedOn w:val="Normal"/>
    <w:link w:val="BalloonTextChar"/>
    <w:uiPriority w:val="99"/>
    <w:semiHidden/>
    <w:unhideWhenUsed/>
    <w:rsid w:val="003E58F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58F6"/>
    <w:rPr>
      <w:rFonts w:ascii="Tahoma" w:hAnsi="Tahoma" w:cs="Tahoma"/>
      <w:sz w:val="16"/>
      <w:szCs w:val="16"/>
      <w:lang w:val="en-US" w:eastAsia="en-US"/>
    </w:rPr>
  </w:style>
  <w:style w:type="paragraph" w:styleId="Revision">
    <w:name w:val="Revision"/>
    <w:hidden/>
    <w:uiPriority w:val="99"/>
    <w:semiHidden/>
    <w:rsid w:val="00F93470"/>
  </w:style>
  <w:style w:type="character" w:customStyle="1" w:styleId="hps">
    <w:name w:val="hps"/>
    <w:basedOn w:val="DefaultParagraphFont"/>
    <w:rsid w:val="004F26B2"/>
    <w:rPr>
      <w:rFonts w:cs="Times New Roman"/>
    </w:rPr>
  </w:style>
  <w:style w:type="character" w:customStyle="1" w:styleId="shorttext">
    <w:name w:val="short_text"/>
    <w:basedOn w:val="DefaultParagraphFont"/>
    <w:rsid w:val="00BD329D"/>
    <w:rPr>
      <w:rFonts w:cs="Times New Roman"/>
    </w:rPr>
  </w:style>
  <w:style w:type="character" w:customStyle="1" w:styleId="atn">
    <w:name w:val="atn"/>
    <w:basedOn w:val="DefaultParagraphFont"/>
    <w:rsid w:val="006A3BB8"/>
    <w:rPr>
      <w:rFonts w:cs="Times New Roman"/>
    </w:rPr>
  </w:style>
  <w:style w:type="paragraph" w:customStyle="1" w:styleId="xl23">
    <w:name w:val="xl23"/>
    <w:basedOn w:val="Normal"/>
    <w:rsid w:val="00981761"/>
    <w:pPr>
      <w:overflowPunct/>
      <w:autoSpaceDE/>
      <w:autoSpaceDN/>
      <w:adjustRightInd/>
      <w:spacing w:before="100" w:beforeAutospacing="1" w:after="100" w:afterAutospacing="1"/>
      <w:jc w:val="both"/>
      <w:textAlignment w:val="top"/>
    </w:pPr>
    <w:rPr>
      <w:rFonts w:eastAsia="Arial Unicode MS" w:cs="Arial Unicode MS"/>
      <w:sz w:val="24"/>
      <w:szCs w:val="24"/>
      <w:lang w:eastAsia="ar-SA"/>
    </w:rPr>
  </w:style>
  <w:style w:type="paragraph" w:styleId="FootnoteText">
    <w:name w:val="footnote text"/>
    <w:basedOn w:val="Normal"/>
    <w:link w:val="FootnoteTextChar"/>
    <w:rsid w:val="00750558"/>
    <w:pPr>
      <w:overflowPunct/>
      <w:autoSpaceDE/>
      <w:autoSpaceDN/>
      <w:adjustRightInd/>
      <w:textAlignment w:val="auto"/>
    </w:pPr>
    <w:rPr>
      <w:rFonts w:cs="Traditional Arabic"/>
      <w:noProof/>
      <w:szCs w:val="24"/>
      <w:lang w:eastAsia="ar-SA"/>
    </w:rPr>
  </w:style>
  <w:style w:type="character" w:customStyle="1" w:styleId="FootnoteTextChar">
    <w:name w:val="Footnote Text Char"/>
    <w:basedOn w:val="DefaultParagraphFont"/>
    <w:link w:val="FootnoteText"/>
    <w:locked/>
    <w:rsid w:val="00750558"/>
    <w:rPr>
      <w:rFonts w:cs="Traditional Arabic"/>
      <w:noProof/>
      <w:sz w:val="24"/>
      <w:szCs w:val="24"/>
      <w:lang w:eastAsia="ar-SA"/>
    </w:rPr>
  </w:style>
  <w:style w:type="character" w:styleId="FootnoteReference">
    <w:name w:val="footnote reference"/>
    <w:basedOn w:val="DefaultParagraphFont"/>
    <w:semiHidden/>
    <w:rsid w:val="00750558"/>
    <w:rPr>
      <w:rFonts w:cs="Times New Roman"/>
      <w:vertAlign w:val="superscript"/>
    </w:rPr>
  </w:style>
  <w:style w:type="table" w:styleId="TableGrid">
    <w:name w:val="Table Grid"/>
    <w:basedOn w:val="TableNormal"/>
    <w:uiPriority w:val="59"/>
    <w:rsid w:val="00195ED8"/>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3D80"/>
    <w:rPr>
      <w:sz w:val="16"/>
      <w:szCs w:val="16"/>
    </w:rPr>
  </w:style>
  <w:style w:type="paragraph" w:styleId="CommentSubject">
    <w:name w:val="annotation subject"/>
    <w:basedOn w:val="CommentText"/>
    <w:next w:val="CommentText"/>
    <w:link w:val="CommentSubjectChar"/>
    <w:uiPriority w:val="99"/>
    <w:semiHidden/>
    <w:unhideWhenUsed/>
    <w:rsid w:val="00B93D80"/>
    <w:rPr>
      <w:b/>
      <w:bCs/>
    </w:rPr>
  </w:style>
  <w:style w:type="character" w:customStyle="1" w:styleId="CommentSubjectChar">
    <w:name w:val="Comment Subject Char"/>
    <w:basedOn w:val="CommentTextChar"/>
    <w:link w:val="CommentSubject"/>
    <w:uiPriority w:val="99"/>
    <w:semiHidden/>
    <w:rsid w:val="00B93D80"/>
    <w:rPr>
      <w:rFonts w:cs="Times New Roman"/>
      <w:b/>
      <w:bCs/>
    </w:rPr>
  </w:style>
  <w:style w:type="character" w:customStyle="1" w:styleId="tlid-translation">
    <w:name w:val="tlid-translation"/>
    <w:basedOn w:val="DefaultParagraphFont"/>
    <w:rsid w:val="001128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14592">
      <w:bodyDiv w:val="1"/>
      <w:marLeft w:val="0"/>
      <w:marRight w:val="0"/>
      <w:marTop w:val="0"/>
      <w:marBottom w:val="0"/>
      <w:divBdr>
        <w:top w:val="none" w:sz="0" w:space="0" w:color="auto"/>
        <w:left w:val="none" w:sz="0" w:space="0" w:color="auto"/>
        <w:bottom w:val="none" w:sz="0" w:space="0" w:color="auto"/>
        <w:right w:val="none" w:sz="0" w:space="0" w:color="auto"/>
      </w:divBdr>
    </w:div>
    <w:div w:id="441732020">
      <w:bodyDiv w:val="1"/>
      <w:marLeft w:val="0"/>
      <w:marRight w:val="0"/>
      <w:marTop w:val="0"/>
      <w:marBottom w:val="0"/>
      <w:divBdr>
        <w:top w:val="none" w:sz="0" w:space="0" w:color="auto"/>
        <w:left w:val="none" w:sz="0" w:space="0" w:color="auto"/>
        <w:bottom w:val="none" w:sz="0" w:space="0" w:color="auto"/>
        <w:right w:val="none" w:sz="0" w:space="0" w:color="auto"/>
      </w:divBdr>
      <w:divsChild>
        <w:div w:id="1776904877">
          <w:marLeft w:val="0"/>
          <w:marRight w:val="0"/>
          <w:marTop w:val="0"/>
          <w:marBottom w:val="0"/>
          <w:divBdr>
            <w:top w:val="none" w:sz="0" w:space="0" w:color="auto"/>
            <w:left w:val="none" w:sz="0" w:space="0" w:color="auto"/>
            <w:bottom w:val="none" w:sz="0" w:space="0" w:color="auto"/>
            <w:right w:val="none" w:sz="0" w:space="0" w:color="auto"/>
          </w:divBdr>
          <w:divsChild>
            <w:div w:id="174882694">
              <w:marLeft w:val="0"/>
              <w:marRight w:val="0"/>
              <w:marTop w:val="0"/>
              <w:marBottom w:val="0"/>
              <w:divBdr>
                <w:top w:val="none" w:sz="0" w:space="0" w:color="auto"/>
                <w:left w:val="none" w:sz="0" w:space="0" w:color="auto"/>
                <w:bottom w:val="none" w:sz="0" w:space="0" w:color="auto"/>
                <w:right w:val="none" w:sz="0" w:space="0" w:color="auto"/>
              </w:divBdr>
              <w:divsChild>
                <w:div w:id="1903979011">
                  <w:marLeft w:val="0"/>
                  <w:marRight w:val="0"/>
                  <w:marTop w:val="0"/>
                  <w:marBottom w:val="0"/>
                  <w:divBdr>
                    <w:top w:val="none" w:sz="0" w:space="0" w:color="auto"/>
                    <w:left w:val="none" w:sz="0" w:space="0" w:color="auto"/>
                    <w:bottom w:val="none" w:sz="0" w:space="0" w:color="auto"/>
                    <w:right w:val="none" w:sz="0" w:space="0" w:color="auto"/>
                  </w:divBdr>
                  <w:divsChild>
                    <w:div w:id="2025667287">
                      <w:marLeft w:val="0"/>
                      <w:marRight w:val="0"/>
                      <w:marTop w:val="0"/>
                      <w:marBottom w:val="0"/>
                      <w:divBdr>
                        <w:top w:val="none" w:sz="0" w:space="0" w:color="auto"/>
                        <w:left w:val="none" w:sz="0" w:space="0" w:color="auto"/>
                        <w:bottom w:val="none" w:sz="0" w:space="0" w:color="auto"/>
                        <w:right w:val="none" w:sz="0" w:space="0" w:color="auto"/>
                      </w:divBdr>
                      <w:divsChild>
                        <w:div w:id="2125540805">
                          <w:marLeft w:val="0"/>
                          <w:marRight w:val="0"/>
                          <w:marTop w:val="0"/>
                          <w:marBottom w:val="0"/>
                          <w:divBdr>
                            <w:top w:val="none" w:sz="0" w:space="0" w:color="auto"/>
                            <w:left w:val="none" w:sz="0" w:space="0" w:color="auto"/>
                            <w:bottom w:val="none" w:sz="0" w:space="0" w:color="auto"/>
                            <w:right w:val="none" w:sz="0" w:space="0" w:color="auto"/>
                          </w:divBdr>
                          <w:divsChild>
                            <w:div w:id="1506745970">
                              <w:marLeft w:val="0"/>
                              <w:marRight w:val="0"/>
                              <w:marTop w:val="0"/>
                              <w:marBottom w:val="0"/>
                              <w:divBdr>
                                <w:top w:val="none" w:sz="0" w:space="0" w:color="auto"/>
                                <w:left w:val="none" w:sz="0" w:space="0" w:color="auto"/>
                                <w:bottom w:val="none" w:sz="0" w:space="0" w:color="auto"/>
                                <w:right w:val="none" w:sz="0" w:space="0" w:color="auto"/>
                              </w:divBdr>
                              <w:divsChild>
                                <w:div w:id="859469418">
                                  <w:marLeft w:val="0"/>
                                  <w:marRight w:val="0"/>
                                  <w:marTop w:val="0"/>
                                  <w:marBottom w:val="0"/>
                                  <w:divBdr>
                                    <w:top w:val="none" w:sz="0" w:space="0" w:color="auto"/>
                                    <w:left w:val="none" w:sz="0" w:space="0" w:color="auto"/>
                                    <w:bottom w:val="none" w:sz="0" w:space="0" w:color="auto"/>
                                    <w:right w:val="none" w:sz="0" w:space="0" w:color="auto"/>
                                  </w:divBdr>
                                  <w:divsChild>
                                    <w:div w:id="285357328">
                                      <w:marLeft w:val="0"/>
                                      <w:marRight w:val="0"/>
                                      <w:marTop w:val="0"/>
                                      <w:marBottom w:val="0"/>
                                      <w:divBdr>
                                        <w:top w:val="none" w:sz="0" w:space="0" w:color="auto"/>
                                        <w:left w:val="none" w:sz="0" w:space="0" w:color="auto"/>
                                        <w:bottom w:val="none" w:sz="0" w:space="0" w:color="auto"/>
                                        <w:right w:val="none" w:sz="0" w:space="0" w:color="auto"/>
                                      </w:divBdr>
                                      <w:divsChild>
                                        <w:div w:id="1812361308">
                                          <w:marLeft w:val="0"/>
                                          <w:marRight w:val="0"/>
                                          <w:marTop w:val="0"/>
                                          <w:marBottom w:val="330"/>
                                          <w:divBdr>
                                            <w:top w:val="none" w:sz="0" w:space="0" w:color="auto"/>
                                            <w:left w:val="none" w:sz="0" w:space="0" w:color="auto"/>
                                            <w:bottom w:val="none" w:sz="0" w:space="0" w:color="auto"/>
                                            <w:right w:val="none" w:sz="0" w:space="0" w:color="auto"/>
                                          </w:divBdr>
                                          <w:divsChild>
                                            <w:div w:id="136841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005721">
      <w:bodyDiv w:val="1"/>
      <w:marLeft w:val="0"/>
      <w:marRight w:val="0"/>
      <w:marTop w:val="0"/>
      <w:marBottom w:val="0"/>
      <w:divBdr>
        <w:top w:val="none" w:sz="0" w:space="0" w:color="auto"/>
        <w:left w:val="none" w:sz="0" w:space="0" w:color="auto"/>
        <w:bottom w:val="none" w:sz="0" w:space="0" w:color="auto"/>
        <w:right w:val="none" w:sz="0" w:space="0" w:color="auto"/>
      </w:divBdr>
      <w:divsChild>
        <w:div w:id="922109784">
          <w:marLeft w:val="0"/>
          <w:marRight w:val="0"/>
          <w:marTop w:val="0"/>
          <w:marBottom w:val="0"/>
          <w:divBdr>
            <w:top w:val="none" w:sz="0" w:space="0" w:color="auto"/>
            <w:left w:val="none" w:sz="0" w:space="0" w:color="auto"/>
            <w:bottom w:val="none" w:sz="0" w:space="0" w:color="auto"/>
            <w:right w:val="none" w:sz="0" w:space="0" w:color="auto"/>
          </w:divBdr>
          <w:divsChild>
            <w:div w:id="526724467">
              <w:marLeft w:val="0"/>
              <w:marRight w:val="0"/>
              <w:marTop w:val="0"/>
              <w:marBottom w:val="0"/>
              <w:divBdr>
                <w:top w:val="none" w:sz="0" w:space="0" w:color="auto"/>
                <w:left w:val="none" w:sz="0" w:space="0" w:color="auto"/>
                <w:bottom w:val="none" w:sz="0" w:space="0" w:color="auto"/>
                <w:right w:val="none" w:sz="0" w:space="0" w:color="auto"/>
              </w:divBdr>
              <w:divsChild>
                <w:div w:id="993799068">
                  <w:marLeft w:val="0"/>
                  <w:marRight w:val="0"/>
                  <w:marTop w:val="0"/>
                  <w:marBottom w:val="0"/>
                  <w:divBdr>
                    <w:top w:val="none" w:sz="0" w:space="0" w:color="auto"/>
                    <w:left w:val="none" w:sz="0" w:space="0" w:color="auto"/>
                    <w:bottom w:val="none" w:sz="0" w:space="0" w:color="auto"/>
                    <w:right w:val="none" w:sz="0" w:space="0" w:color="auto"/>
                  </w:divBdr>
                  <w:divsChild>
                    <w:div w:id="1022895295">
                      <w:marLeft w:val="0"/>
                      <w:marRight w:val="0"/>
                      <w:marTop w:val="0"/>
                      <w:marBottom w:val="0"/>
                      <w:divBdr>
                        <w:top w:val="none" w:sz="0" w:space="0" w:color="auto"/>
                        <w:left w:val="none" w:sz="0" w:space="0" w:color="auto"/>
                        <w:bottom w:val="none" w:sz="0" w:space="0" w:color="auto"/>
                        <w:right w:val="none" w:sz="0" w:space="0" w:color="auto"/>
                      </w:divBdr>
                      <w:divsChild>
                        <w:div w:id="862324571">
                          <w:marLeft w:val="0"/>
                          <w:marRight w:val="0"/>
                          <w:marTop w:val="0"/>
                          <w:marBottom w:val="0"/>
                          <w:divBdr>
                            <w:top w:val="none" w:sz="0" w:space="0" w:color="auto"/>
                            <w:left w:val="none" w:sz="0" w:space="0" w:color="auto"/>
                            <w:bottom w:val="none" w:sz="0" w:space="0" w:color="auto"/>
                            <w:right w:val="none" w:sz="0" w:space="0" w:color="auto"/>
                          </w:divBdr>
                          <w:divsChild>
                            <w:div w:id="1058018644">
                              <w:marLeft w:val="0"/>
                              <w:marRight w:val="0"/>
                              <w:marTop w:val="0"/>
                              <w:marBottom w:val="0"/>
                              <w:divBdr>
                                <w:top w:val="none" w:sz="0" w:space="0" w:color="auto"/>
                                <w:left w:val="none" w:sz="0" w:space="0" w:color="auto"/>
                                <w:bottom w:val="none" w:sz="0" w:space="0" w:color="auto"/>
                                <w:right w:val="none" w:sz="0" w:space="0" w:color="auto"/>
                              </w:divBdr>
                              <w:divsChild>
                                <w:div w:id="1374503562">
                                  <w:marLeft w:val="0"/>
                                  <w:marRight w:val="0"/>
                                  <w:marTop w:val="0"/>
                                  <w:marBottom w:val="0"/>
                                  <w:divBdr>
                                    <w:top w:val="none" w:sz="0" w:space="0" w:color="auto"/>
                                    <w:left w:val="none" w:sz="0" w:space="0" w:color="auto"/>
                                    <w:bottom w:val="none" w:sz="0" w:space="0" w:color="auto"/>
                                    <w:right w:val="none" w:sz="0" w:space="0" w:color="auto"/>
                                  </w:divBdr>
                                  <w:divsChild>
                                    <w:div w:id="1175001889">
                                      <w:marLeft w:val="0"/>
                                      <w:marRight w:val="0"/>
                                      <w:marTop w:val="0"/>
                                      <w:marBottom w:val="0"/>
                                      <w:divBdr>
                                        <w:top w:val="none" w:sz="0" w:space="0" w:color="auto"/>
                                        <w:left w:val="none" w:sz="0" w:space="0" w:color="auto"/>
                                        <w:bottom w:val="none" w:sz="0" w:space="0" w:color="auto"/>
                                        <w:right w:val="none" w:sz="0" w:space="0" w:color="auto"/>
                                      </w:divBdr>
                                      <w:divsChild>
                                        <w:div w:id="1390032404">
                                          <w:marLeft w:val="0"/>
                                          <w:marRight w:val="0"/>
                                          <w:marTop w:val="0"/>
                                          <w:marBottom w:val="330"/>
                                          <w:divBdr>
                                            <w:top w:val="none" w:sz="0" w:space="0" w:color="auto"/>
                                            <w:left w:val="none" w:sz="0" w:space="0" w:color="auto"/>
                                            <w:bottom w:val="none" w:sz="0" w:space="0" w:color="auto"/>
                                            <w:right w:val="none" w:sz="0" w:space="0" w:color="auto"/>
                                          </w:divBdr>
                                          <w:divsChild>
                                            <w:div w:id="4236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1095424">
      <w:bodyDiv w:val="1"/>
      <w:marLeft w:val="0"/>
      <w:marRight w:val="0"/>
      <w:marTop w:val="0"/>
      <w:marBottom w:val="0"/>
      <w:divBdr>
        <w:top w:val="none" w:sz="0" w:space="0" w:color="auto"/>
        <w:left w:val="none" w:sz="0" w:space="0" w:color="auto"/>
        <w:bottom w:val="none" w:sz="0" w:space="0" w:color="auto"/>
        <w:right w:val="none" w:sz="0" w:space="0" w:color="auto"/>
      </w:divBdr>
    </w:div>
    <w:div w:id="840047129">
      <w:bodyDiv w:val="1"/>
      <w:marLeft w:val="0"/>
      <w:marRight w:val="0"/>
      <w:marTop w:val="0"/>
      <w:marBottom w:val="0"/>
      <w:divBdr>
        <w:top w:val="none" w:sz="0" w:space="0" w:color="auto"/>
        <w:left w:val="none" w:sz="0" w:space="0" w:color="auto"/>
        <w:bottom w:val="none" w:sz="0" w:space="0" w:color="auto"/>
        <w:right w:val="none" w:sz="0" w:space="0" w:color="auto"/>
      </w:divBdr>
    </w:div>
    <w:div w:id="919100886">
      <w:bodyDiv w:val="1"/>
      <w:marLeft w:val="0"/>
      <w:marRight w:val="0"/>
      <w:marTop w:val="0"/>
      <w:marBottom w:val="0"/>
      <w:divBdr>
        <w:top w:val="none" w:sz="0" w:space="0" w:color="auto"/>
        <w:left w:val="none" w:sz="0" w:space="0" w:color="auto"/>
        <w:bottom w:val="none" w:sz="0" w:space="0" w:color="auto"/>
        <w:right w:val="none" w:sz="0" w:space="0" w:color="auto"/>
      </w:divBdr>
    </w:div>
    <w:div w:id="970286442">
      <w:bodyDiv w:val="1"/>
      <w:marLeft w:val="0"/>
      <w:marRight w:val="0"/>
      <w:marTop w:val="0"/>
      <w:marBottom w:val="0"/>
      <w:divBdr>
        <w:top w:val="none" w:sz="0" w:space="0" w:color="auto"/>
        <w:left w:val="none" w:sz="0" w:space="0" w:color="auto"/>
        <w:bottom w:val="none" w:sz="0" w:space="0" w:color="auto"/>
        <w:right w:val="none" w:sz="0" w:space="0" w:color="auto"/>
      </w:divBdr>
      <w:divsChild>
        <w:div w:id="1799102017">
          <w:marLeft w:val="0"/>
          <w:marRight w:val="0"/>
          <w:marTop w:val="0"/>
          <w:marBottom w:val="0"/>
          <w:divBdr>
            <w:top w:val="none" w:sz="0" w:space="0" w:color="auto"/>
            <w:left w:val="none" w:sz="0" w:space="0" w:color="auto"/>
            <w:bottom w:val="none" w:sz="0" w:space="0" w:color="auto"/>
            <w:right w:val="none" w:sz="0" w:space="0" w:color="auto"/>
          </w:divBdr>
          <w:divsChild>
            <w:div w:id="1139495214">
              <w:marLeft w:val="0"/>
              <w:marRight w:val="0"/>
              <w:marTop w:val="0"/>
              <w:marBottom w:val="0"/>
              <w:divBdr>
                <w:top w:val="none" w:sz="0" w:space="0" w:color="auto"/>
                <w:left w:val="none" w:sz="0" w:space="0" w:color="auto"/>
                <w:bottom w:val="none" w:sz="0" w:space="0" w:color="auto"/>
                <w:right w:val="none" w:sz="0" w:space="0" w:color="auto"/>
              </w:divBdr>
              <w:divsChild>
                <w:div w:id="42484802">
                  <w:marLeft w:val="0"/>
                  <w:marRight w:val="0"/>
                  <w:marTop w:val="0"/>
                  <w:marBottom w:val="0"/>
                  <w:divBdr>
                    <w:top w:val="none" w:sz="0" w:space="0" w:color="auto"/>
                    <w:left w:val="none" w:sz="0" w:space="0" w:color="auto"/>
                    <w:bottom w:val="none" w:sz="0" w:space="0" w:color="auto"/>
                    <w:right w:val="none" w:sz="0" w:space="0" w:color="auto"/>
                  </w:divBdr>
                  <w:divsChild>
                    <w:div w:id="2005085254">
                      <w:marLeft w:val="0"/>
                      <w:marRight w:val="0"/>
                      <w:marTop w:val="0"/>
                      <w:marBottom w:val="0"/>
                      <w:divBdr>
                        <w:top w:val="none" w:sz="0" w:space="0" w:color="auto"/>
                        <w:left w:val="none" w:sz="0" w:space="0" w:color="auto"/>
                        <w:bottom w:val="none" w:sz="0" w:space="0" w:color="auto"/>
                        <w:right w:val="none" w:sz="0" w:space="0" w:color="auto"/>
                      </w:divBdr>
                      <w:divsChild>
                        <w:div w:id="598568480">
                          <w:marLeft w:val="0"/>
                          <w:marRight w:val="0"/>
                          <w:marTop w:val="0"/>
                          <w:marBottom w:val="0"/>
                          <w:divBdr>
                            <w:top w:val="none" w:sz="0" w:space="0" w:color="auto"/>
                            <w:left w:val="none" w:sz="0" w:space="0" w:color="auto"/>
                            <w:bottom w:val="none" w:sz="0" w:space="0" w:color="auto"/>
                            <w:right w:val="none" w:sz="0" w:space="0" w:color="auto"/>
                          </w:divBdr>
                          <w:divsChild>
                            <w:div w:id="1733844249">
                              <w:marLeft w:val="0"/>
                              <w:marRight w:val="0"/>
                              <w:marTop w:val="0"/>
                              <w:marBottom w:val="0"/>
                              <w:divBdr>
                                <w:top w:val="none" w:sz="0" w:space="0" w:color="auto"/>
                                <w:left w:val="none" w:sz="0" w:space="0" w:color="auto"/>
                                <w:bottom w:val="none" w:sz="0" w:space="0" w:color="auto"/>
                                <w:right w:val="none" w:sz="0" w:space="0" w:color="auto"/>
                              </w:divBdr>
                              <w:divsChild>
                                <w:div w:id="890968449">
                                  <w:marLeft w:val="0"/>
                                  <w:marRight w:val="0"/>
                                  <w:marTop w:val="0"/>
                                  <w:marBottom w:val="0"/>
                                  <w:divBdr>
                                    <w:top w:val="none" w:sz="0" w:space="0" w:color="auto"/>
                                    <w:left w:val="none" w:sz="0" w:space="0" w:color="auto"/>
                                    <w:bottom w:val="none" w:sz="0" w:space="0" w:color="auto"/>
                                    <w:right w:val="none" w:sz="0" w:space="0" w:color="auto"/>
                                  </w:divBdr>
                                  <w:divsChild>
                                    <w:div w:id="635180011">
                                      <w:marLeft w:val="0"/>
                                      <w:marRight w:val="0"/>
                                      <w:marTop w:val="0"/>
                                      <w:marBottom w:val="0"/>
                                      <w:divBdr>
                                        <w:top w:val="none" w:sz="0" w:space="0" w:color="auto"/>
                                        <w:left w:val="none" w:sz="0" w:space="0" w:color="auto"/>
                                        <w:bottom w:val="none" w:sz="0" w:space="0" w:color="auto"/>
                                        <w:right w:val="none" w:sz="0" w:space="0" w:color="auto"/>
                                      </w:divBdr>
                                      <w:divsChild>
                                        <w:div w:id="1163736139">
                                          <w:marLeft w:val="0"/>
                                          <w:marRight w:val="0"/>
                                          <w:marTop w:val="0"/>
                                          <w:marBottom w:val="330"/>
                                          <w:divBdr>
                                            <w:top w:val="none" w:sz="0" w:space="0" w:color="auto"/>
                                            <w:left w:val="none" w:sz="0" w:space="0" w:color="auto"/>
                                            <w:bottom w:val="none" w:sz="0" w:space="0" w:color="auto"/>
                                            <w:right w:val="none" w:sz="0" w:space="0" w:color="auto"/>
                                          </w:divBdr>
                                          <w:divsChild>
                                            <w:div w:id="81240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5182637">
      <w:bodyDiv w:val="1"/>
      <w:marLeft w:val="0"/>
      <w:marRight w:val="0"/>
      <w:marTop w:val="0"/>
      <w:marBottom w:val="0"/>
      <w:divBdr>
        <w:top w:val="none" w:sz="0" w:space="0" w:color="auto"/>
        <w:left w:val="none" w:sz="0" w:space="0" w:color="auto"/>
        <w:bottom w:val="none" w:sz="0" w:space="0" w:color="auto"/>
        <w:right w:val="none" w:sz="0" w:space="0" w:color="auto"/>
      </w:divBdr>
      <w:divsChild>
        <w:div w:id="1113666308">
          <w:marLeft w:val="0"/>
          <w:marRight w:val="0"/>
          <w:marTop w:val="0"/>
          <w:marBottom w:val="0"/>
          <w:divBdr>
            <w:top w:val="none" w:sz="0" w:space="0" w:color="auto"/>
            <w:left w:val="none" w:sz="0" w:space="0" w:color="auto"/>
            <w:bottom w:val="none" w:sz="0" w:space="0" w:color="auto"/>
            <w:right w:val="none" w:sz="0" w:space="0" w:color="auto"/>
          </w:divBdr>
          <w:divsChild>
            <w:div w:id="531844854">
              <w:marLeft w:val="0"/>
              <w:marRight w:val="0"/>
              <w:marTop w:val="0"/>
              <w:marBottom w:val="0"/>
              <w:divBdr>
                <w:top w:val="none" w:sz="0" w:space="0" w:color="auto"/>
                <w:left w:val="none" w:sz="0" w:space="0" w:color="auto"/>
                <w:bottom w:val="none" w:sz="0" w:space="0" w:color="auto"/>
                <w:right w:val="none" w:sz="0" w:space="0" w:color="auto"/>
              </w:divBdr>
              <w:divsChild>
                <w:div w:id="969361721">
                  <w:marLeft w:val="0"/>
                  <w:marRight w:val="0"/>
                  <w:marTop w:val="0"/>
                  <w:marBottom w:val="0"/>
                  <w:divBdr>
                    <w:top w:val="none" w:sz="0" w:space="0" w:color="auto"/>
                    <w:left w:val="none" w:sz="0" w:space="0" w:color="auto"/>
                    <w:bottom w:val="none" w:sz="0" w:space="0" w:color="auto"/>
                    <w:right w:val="none" w:sz="0" w:space="0" w:color="auto"/>
                  </w:divBdr>
                  <w:divsChild>
                    <w:div w:id="2038001917">
                      <w:marLeft w:val="0"/>
                      <w:marRight w:val="0"/>
                      <w:marTop w:val="0"/>
                      <w:marBottom w:val="0"/>
                      <w:divBdr>
                        <w:top w:val="none" w:sz="0" w:space="0" w:color="auto"/>
                        <w:left w:val="none" w:sz="0" w:space="0" w:color="auto"/>
                        <w:bottom w:val="none" w:sz="0" w:space="0" w:color="auto"/>
                        <w:right w:val="none" w:sz="0" w:space="0" w:color="auto"/>
                      </w:divBdr>
                      <w:divsChild>
                        <w:div w:id="675348970">
                          <w:marLeft w:val="0"/>
                          <w:marRight w:val="0"/>
                          <w:marTop w:val="0"/>
                          <w:marBottom w:val="0"/>
                          <w:divBdr>
                            <w:top w:val="none" w:sz="0" w:space="0" w:color="auto"/>
                            <w:left w:val="none" w:sz="0" w:space="0" w:color="auto"/>
                            <w:bottom w:val="none" w:sz="0" w:space="0" w:color="auto"/>
                            <w:right w:val="none" w:sz="0" w:space="0" w:color="auto"/>
                          </w:divBdr>
                          <w:divsChild>
                            <w:div w:id="1751462499">
                              <w:marLeft w:val="0"/>
                              <w:marRight w:val="0"/>
                              <w:marTop w:val="0"/>
                              <w:marBottom w:val="0"/>
                              <w:divBdr>
                                <w:top w:val="none" w:sz="0" w:space="0" w:color="auto"/>
                                <w:left w:val="none" w:sz="0" w:space="0" w:color="auto"/>
                                <w:bottom w:val="none" w:sz="0" w:space="0" w:color="auto"/>
                                <w:right w:val="none" w:sz="0" w:space="0" w:color="auto"/>
                              </w:divBdr>
                              <w:divsChild>
                                <w:div w:id="359360425">
                                  <w:marLeft w:val="0"/>
                                  <w:marRight w:val="0"/>
                                  <w:marTop w:val="0"/>
                                  <w:marBottom w:val="0"/>
                                  <w:divBdr>
                                    <w:top w:val="none" w:sz="0" w:space="0" w:color="auto"/>
                                    <w:left w:val="none" w:sz="0" w:space="0" w:color="auto"/>
                                    <w:bottom w:val="none" w:sz="0" w:space="0" w:color="auto"/>
                                    <w:right w:val="none" w:sz="0" w:space="0" w:color="auto"/>
                                  </w:divBdr>
                                  <w:divsChild>
                                    <w:div w:id="1575235594">
                                      <w:marLeft w:val="0"/>
                                      <w:marRight w:val="0"/>
                                      <w:marTop w:val="0"/>
                                      <w:marBottom w:val="0"/>
                                      <w:divBdr>
                                        <w:top w:val="none" w:sz="0" w:space="0" w:color="auto"/>
                                        <w:left w:val="none" w:sz="0" w:space="0" w:color="auto"/>
                                        <w:bottom w:val="none" w:sz="0" w:space="0" w:color="auto"/>
                                        <w:right w:val="none" w:sz="0" w:space="0" w:color="auto"/>
                                      </w:divBdr>
                                      <w:divsChild>
                                        <w:div w:id="1731611165">
                                          <w:marLeft w:val="0"/>
                                          <w:marRight w:val="0"/>
                                          <w:marTop w:val="0"/>
                                          <w:marBottom w:val="330"/>
                                          <w:divBdr>
                                            <w:top w:val="none" w:sz="0" w:space="0" w:color="auto"/>
                                            <w:left w:val="none" w:sz="0" w:space="0" w:color="auto"/>
                                            <w:bottom w:val="none" w:sz="0" w:space="0" w:color="auto"/>
                                            <w:right w:val="none" w:sz="0" w:space="0" w:color="auto"/>
                                          </w:divBdr>
                                          <w:divsChild>
                                            <w:div w:id="11383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2787544">
      <w:bodyDiv w:val="1"/>
      <w:marLeft w:val="0"/>
      <w:marRight w:val="0"/>
      <w:marTop w:val="0"/>
      <w:marBottom w:val="0"/>
      <w:divBdr>
        <w:top w:val="none" w:sz="0" w:space="0" w:color="auto"/>
        <w:left w:val="none" w:sz="0" w:space="0" w:color="auto"/>
        <w:bottom w:val="none" w:sz="0" w:space="0" w:color="auto"/>
        <w:right w:val="none" w:sz="0" w:space="0" w:color="auto"/>
      </w:divBdr>
      <w:divsChild>
        <w:div w:id="1012486258">
          <w:marLeft w:val="0"/>
          <w:marRight w:val="0"/>
          <w:marTop w:val="0"/>
          <w:marBottom w:val="0"/>
          <w:divBdr>
            <w:top w:val="none" w:sz="0" w:space="0" w:color="auto"/>
            <w:left w:val="none" w:sz="0" w:space="0" w:color="auto"/>
            <w:bottom w:val="none" w:sz="0" w:space="0" w:color="auto"/>
            <w:right w:val="none" w:sz="0" w:space="0" w:color="auto"/>
          </w:divBdr>
          <w:divsChild>
            <w:div w:id="1952128320">
              <w:marLeft w:val="0"/>
              <w:marRight w:val="0"/>
              <w:marTop w:val="0"/>
              <w:marBottom w:val="0"/>
              <w:divBdr>
                <w:top w:val="none" w:sz="0" w:space="0" w:color="auto"/>
                <w:left w:val="none" w:sz="0" w:space="0" w:color="auto"/>
                <w:bottom w:val="none" w:sz="0" w:space="0" w:color="auto"/>
                <w:right w:val="none" w:sz="0" w:space="0" w:color="auto"/>
              </w:divBdr>
              <w:divsChild>
                <w:div w:id="1057706600">
                  <w:marLeft w:val="0"/>
                  <w:marRight w:val="0"/>
                  <w:marTop w:val="0"/>
                  <w:marBottom w:val="0"/>
                  <w:divBdr>
                    <w:top w:val="none" w:sz="0" w:space="0" w:color="auto"/>
                    <w:left w:val="none" w:sz="0" w:space="0" w:color="auto"/>
                    <w:bottom w:val="none" w:sz="0" w:space="0" w:color="auto"/>
                    <w:right w:val="none" w:sz="0" w:space="0" w:color="auto"/>
                  </w:divBdr>
                  <w:divsChild>
                    <w:div w:id="795025765">
                      <w:marLeft w:val="0"/>
                      <w:marRight w:val="0"/>
                      <w:marTop w:val="0"/>
                      <w:marBottom w:val="0"/>
                      <w:divBdr>
                        <w:top w:val="none" w:sz="0" w:space="0" w:color="auto"/>
                        <w:left w:val="none" w:sz="0" w:space="0" w:color="auto"/>
                        <w:bottom w:val="none" w:sz="0" w:space="0" w:color="auto"/>
                        <w:right w:val="none" w:sz="0" w:space="0" w:color="auto"/>
                      </w:divBdr>
                      <w:divsChild>
                        <w:div w:id="127826250">
                          <w:marLeft w:val="0"/>
                          <w:marRight w:val="0"/>
                          <w:marTop w:val="0"/>
                          <w:marBottom w:val="0"/>
                          <w:divBdr>
                            <w:top w:val="none" w:sz="0" w:space="0" w:color="auto"/>
                            <w:left w:val="none" w:sz="0" w:space="0" w:color="auto"/>
                            <w:bottom w:val="none" w:sz="0" w:space="0" w:color="auto"/>
                            <w:right w:val="none" w:sz="0" w:space="0" w:color="auto"/>
                          </w:divBdr>
                          <w:divsChild>
                            <w:div w:id="761100236">
                              <w:marLeft w:val="0"/>
                              <w:marRight w:val="0"/>
                              <w:marTop w:val="0"/>
                              <w:marBottom w:val="0"/>
                              <w:divBdr>
                                <w:top w:val="none" w:sz="0" w:space="0" w:color="auto"/>
                                <w:left w:val="none" w:sz="0" w:space="0" w:color="auto"/>
                                <w:bottom w:val="none" w:sz="0" w:space="0" w:color="auto"/>
                                <w:right w:val="none" w:sz="0" w:space="0" w:color="auto"/>
                              </w:divBdr>
                              <w:divsChild>
                                <w:div w:id="1818303037">
                                  <w:marLeft w:val="0"/>
                                  <w:marRight w:val="0"/>
                                  <w:marTop w:val="0"/>
                                  <w:marBottom w:val="0"/>
                                  <w:divBdr>
                                    <w:top w:val="none" w:sz="0" w:space="0" w:color="auto"/>
                                    <w:left w:val="none" w:sz="0" w:space="0" w:color="auto"/>
                                    <w:bottom w:val="none" w:sz="0" w:space="0" w:color="auto"/>
                                    <w:right w:val="none" w:sz="0" w:space="0" w:color="auto"/>
                                  </w:divBdr>
                                  <w:divsChild>
                                    <w:div w:id="2055735763">
                                      <w:marLeft w:val="0"/>
                                      <w:marRight w:val="0"/>
                                      <w:marTop w:val="0"/>
                                      <w:marBottom w:val="0"/>
                                      <w:divBdr>
                                        <w:top w:val="none" w:sz="0" w:space="0" w:color="auto"/>
                                        <w:left w:val="none" w:sz="0" w:space="0" w:color="auto"/>
                                        <w:bottom w:val="none" w:sz="0" w:space="0" w:color="auto"/>
                                        <w:right w:val="none" w:sz="0" w:space="0" w:color="auto"/>
                                      </w:divBdr>
                                      <w:divsChild>
                                        <w:div w:id="479661420">
                                          <w:marLeft w:val="0"/>
                                          <w:marRight w:val="0"/>
                                          <w:marTop w:val="0"/>
                                          <w:marBottom w:val="330"/>
                                          <w:divBdr>
                                            <w:top w:val="none" w:sz="0" w:space="0" w:color="auto"/>
                                            <w:left w:val="none" w:sz="0" w:space="0" w:color="auto"/>
                                            <w:bottom w:val="none" w:sz="0" w:space="0" w:color="auto"/>
                                            <w:right w:val="none" w:sz="0" w:space="0" w:color="auto"/>
                                          </w:divBdr>
                                          <w:divsChild>
                                            <w:div w:id="31275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507416">
      <w:bodyDiv w:val="1"/>
      <w:marLeft w:val="0"/>
      <w:marRight w:val="0"/>
      <w:marTop w:val="0"/>
      <w:marBottom w:val="0"/>
      <w:divBdr>
        <w:top w:val="none" w:sz="0" w:space="0" w:color="auto"/>
        <w:left w:val="none" w:sz="0" w:space="0" w:color="auto"/>
        <w:bottom w:val="none" w:sz="0" w:space="0" w:color="auto"/>
        <w:right w:val="none" w:sz="0" w:space="0" w:color="auto"/>
      </w:divBdr>
    </w:div>
    <w:div w:id="1508986273">
      <w:bodyDiv w:val="1"/>
      <w:marLeft w:val="0"/>
      <w:marRight w:val="0"/>
      <w:marTop w:val="0"/>
      <w:marBottom w:val="0"/>
      <w:divBdr>
        <w:top w:val="none" w:sz="0" w:space="0" w:color="auto"/>
        <w:left w:val="none" w:sz="0" w:space="0" w:color="auto"/>
        <w:bottom w:val="none" w:sz="0" w:space="0" w:color="auto"/>
        <w:right w:val="none" w:sz="0" w:space="0" w:color="auto"/>
      </w:divBdr>
      <w:divsChild>
        <w:div w:id="1284771400">
          <w:marLeft w:val="0"/>
          <w:marRight w:val="0"/>
          <w:marTop w:val="0"/>
          <w:marBottom w:val="0"/>
          <w:divBdr>
            <w:top w:val="none" w:sz="0" w:space="0" w:color="auto"/>
            <w:left w:val="none" w:sz="0" w:space="0" w:color="auto"/>
            <w:bottom w:val="none" w:sz="0" w:space="0" w:color="auto"/>
            <w:right w:val="none" w:sz="0" w:space="0" w:color="auto"/>
          </w:divBdr>
          <w:divsChild>
            <w:div w:id="1100836410">
              <w:marLeft w:val="0"/>
              <w:marRight w:val="0"/>
              <w:marTop w:val="0"/>
              <w:marBottom w:val="0"/>
              <w:divBdr>
                <w:top w:val="none" w:sz="0" w:space="0" w:color="auto"/>
                <w:left w:val="none" w:sz="0" w:space="0" w:color="auto"/>
                <w:bottom w:val="none" w:sz="0" w:space="0" w:color="auto"/>
                <w:right w:val="none" w:sz="0" w:space="0" w:color="auto"/>
              </w:divBdr>
              <w:divsChild>
                <w:div w:id="1752316487">
                  <w:marLeft w:val="0"/>
                  <w:marRight w:val="0"/>
                  <w:marTop w:val="0"/>
                  <w:marBottom w:val="0"/>
                  <w:divBdr>
                    <w:top w:val="none" w:sz="0" w:space="0" w:color="auto"/>
                    <w:left w:val="none" w:sz="0" w:space="0" w:color="auto"/>
                    <w:bottom w:val="none" w:sz="0" w:space="0" w:color="auto"/>
                    <w:right w:val="none" w:sz="0" w:space="0" w:color="auto"/>
                  </w:divBdr>
                  <w:divsChild>
                    <w:div w:id="1618171869">
                      <w:marLeft w:val="0"/>
                      <w:marRight w:val="0"/>
                      <w:marTop w:val="0"/>
                      <w:marBottom w:val="0"/>
                      <w:divBdr>
                        <w:top w:val="none" w:sz="0" w:space="0" w:color="auto"/>
                        <w:left w:val="none" w:sz="0" w:space="0" w:color="auto"/>
                        <w:bottom w:val="none" w:sz="0" w:space="0" w:color="auto"/>
                        <w:right w:val="none" w:sz="0" w:space="0" w:color="auto"/>
                      </w:divBdr>
                      <w:divsChild>
                        <w:div w:id="556552393">
                          <w:marLeft w:val="0"/>
                          <w:marRight w:val="0"/>
                          <w:marTop w:val="0"/>
                          <w:marBottom w:val="0"/>
                          <w:divBdr>
                            <w:top w:val="none" w:sz="0" w:space="0" w:color="auto"/>
                            <w:left w:val="none" w:sz="0" w:space="0" w:color="auto"/>
                            <w:bottom w:val="none" w:sz="0" w:space="0" w:color="auto"/>
                            <w:right w:val="none" w:sz="0" w:space="0" w:color="auto"/>
                          </w:divBdr>
                          <w:divsChild>
                            <w:div w:id="1149324317">
                              <w:marLeft w:val="0"/>
                              <w:marRight w:val="0"/>
                              <w:marTop w:val="0"/>
                              <w:marBottom w:val="0"/>
                              <w:divBdr>
                                <w:top w:val="none" w:sz="0" w:space="0" w:color="auto"/>
                                <w:left w:val="none" w:sz="0" w:space="0" w:color="auto"/>
                                <w:bottom w:val="none" w:sz="0" w:space="0" w:color="auto"/>
                                <w:right w:val="none" w:sz="0" w:space="0" w:color="auto"/>
                              </w:divBdr>
                              <w:divsChild>
                                <w:div w:id="249507274">
                                  <w:marLeft w:val="0"/>
                                  <w:marRight w:val="0"/>
                                  <w:marTop w:val="0"/>
                                  <w:marBottom w:val="0"/>
                                  <w:divBdr>
                                    <w:top w:val="none" w:sz="0" w:space="0" w:color="auto"/>
                                    <w:left w:val="none" w:sz="0" w:space="0" w:color="auto"/>
                                    <w:bottom w:val="none" w:sz="0" w:space="0" w:color="auto"/>
                                    <w:right w:val="none" w:sz="0" w:space="0" w:color="auto"/>
                                  </w:divBdr>
                                  <w:divsChild>
                                    <w:div w:id="1391032209">
                                      <w:marLeft w:val="0"/>
                                      <w:marRight w:val="0"/>
                                      <w:marTop w:val="0"/>
                                      <w:marBottom w:val="0"/>
                                      <w:divBdr>
                                        <w:top w:val="none" w:sz="0" w:space="0" w:color="auto"/>
                                        <w:left w:val="none" w:sz="0" w:space="0" w:color="auto"/>
                                        <w:bottom w:val="none" w:sz="0" w:space="0" w:color="auto"/>
                                        <w:right w:val="none" w:sz="0" w:space="0" w:color="auto"/>
                                      </w:divBdr>
                                      <w:divsChild>
                                        <w:div w:id="1715695683">
                                          <w:marLeft w:val="0"/>
                                          <w:marRight w:val="0"/>
                                          <w:marTop w:val="0"/>
                                          <w:marBottom w:val="330"/>
                                          <w:divBdr>
                                            <w:top w:val="none" w:sz="0" w:space="0" w:color="auto"/>
                                            <w:left w:val="none" w:sz="0" w:space="0" w:color="auto"/>
                                            <w:bottom w:val="none" w:sz="0" w:space="0" w:color="auto"/>
                                            <w:right w:val="none" w:sz="0" w:space="0" w:color="auto"/>
                                          </w:divBdr>
                                          <w:divsChild>
                                            <w:div w:id="171739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575636">
      <w:bodyDiv w:val="1"/>
      <w:marLeft w:val="0"/>
      <w:marRight w:val="0"/>
      <w:marTop w:val="0"/>
      <w:marBottom w:val="0"/>
      <w:divBdr>
        <w:top w:val="none" w:sz="0" w:space="0" w:color="auto"/>
        <w:left w:val="none" w:sz="0" w:space="0" w:color="auto"/>
        <w:bottom w:val="none" w:sz="0" w:space="0" w:color="auto"/>
        <w:right w:val="none" w:sz="0" w:space="0" w:color="auto"/>
      </w:divBdr>
    </w:div>
    <w:div w:id="1843625677">
      <w:marLeft w:val="0"/>
      <w:marRight w:val="0"/>
      <w:marTop w:val="0"/>
      <w:marBottom w:val="0"/>
      <w:divBdr>
        <w:top w:val="none" w:sz="0" w:space="0" w:color="auto"/>
        <w:left w:val="none" w:sz="0" w:space="0" w:color="auto"/>
        <w:bottom w:val="none" w:sz="0" w:space="0" w:color="auto"/>
        <w:right w:val="none" w:sz="0" w:space="0" w:color="auto"/>
      </w:divBdr>
    </w:div>
    <w:div w:id="2040936651">
      <w:bodyDiv w:val="1"/>
      <w:marLeft w:val="0"/>
      <w:marRight w:val="0"/>
      <w:marTop w:val="0"/>
      <w:marBottom w:val="0"/>
      <w:divBdr>
        <w:top w:val="none" w:sz="0" w:space="0" w:color="auto"/>
        <w:left w:val="none" w:sz="0" w:space="0" w:color="auto"/>
        <w:bottom w:val="none" w:sz="0" w:space="0" w:color="auto"/>
        <w:right w:val="none" w:sz="0" w:space="0" w:color="auto"/>
      </w:divBdr>
      <w:divsChild>
        <w:div w:id="1188719300">
          <w:marLeft w:val="0"/>
          <w:marRight w:val="0"/>
          <w:marTop w:val="0"/>
          <w:marBottom w:val="0"/>
          <w:divBdr>
            <w:top w:val="none" w:sz="0" w:space="0" w:color="auto"/>
            <w:left w:val="none" w:sz="0" w:space="0" w:color="auto"/>
            <w:bottom w:val="none" w:sz="0" w:space="0" w:color="auto"/>
            <w:right w:val="none" w:sz="0" w:space="0" w:color="auto"/>
          </w:divBdr>
          <w:divsChild>
            <w:div w:id="1202786781">
              <w:marLeft w:val="0"/>
              <w:marRight w:val="0"/>
              <w:marTop w:val="0"/>
              <w:marBottom w:val="0"/>
              <w:divBdr>
                <w:top w:val="none" w:sz="0" w:space="0" w:color="auto"/>
                <w:left w:val="none" w:sz="0" w:space="0" w:color="auto"/>
                <w:bottom w:val="none" w:sz="0" w:space="0" w:color="auto"/>
                <w:right w:val="none" w:sz="0" w:space="0" w:color="auto"/>
              </w:divBdr>
              <w:divsChild>
                <w:div w:id="235674988">
                  <w:marLeft w:val="0"/>
                  <w:marRight w:val="0"/>
                  <w:marTop w:val="0"/>
                  <w:marBottom w:val="0"/>
                  <w:divBdr>
                    <w:top w:val="none" w:sz="0" w:space="0" w:color="auto"/>
                    <w:left w:val="none" w:sz="0" w:space="0" w:color="auto"/>
                    <w:bottom w:val="none" w:sz="0" w:space="0" w:color="auto"/>
                    <w:right w:val="none" w:sz="0" w:space="0" w:color="auto"/>
                  </w:divBdr>
                  <w:divsChild>
                    <w:div w:id="825171190">
                      <w:marLeft w:val="0"/>
                      <w:marRight w:val="0"/>
                      <w:marTop w:val="0"/>
                      <w:marBottom w:val="0"/>
                      <w:divBdr>
                        <w:top w:val="none" w:sz="0" w:space="0" w:color="auto"/>
                        <w:left w:val="none" w:sz="0" w:space="0" w:color="auto"/>
                        <w:bottom w:val="none" w:sz="0" w:space="0" w:color="auto"/>
                        <w:right w:val="none" w:sz="0" w:space="0" w:color="auto"/>
                      </w:divBdr>
                      <w:divsChild>
                        <w:div w:id="1916747208">
                          <w:marLeft w:val="0"/>
                          <w:marRight w:val="0"/>
                          <w:marTop w:val="0"/>
                          <w:marBottom w:val="0"/>
                          <w:divBdr>
                            <w:top w:val="none" w:sz="0" w:space="0" w:color="auto"/>
                            <w:left w:val="none" w:sz="0" w:space="0" w:color="auto"/>
                            <w:bottom w:val="none" w:sz="0" w:space="0" w:color="auto"/>
                            <w:right w:val="none" w:sz="0" w:space="0" w:color="auto"/>
                          </w:divBdr>
                          <w:divsChild>
                            <w:div w:id="808518132">
                              <w:marLeft w:val="0"/>
                              <w:marRight w:val="0"/>
                              <w:marTop w:val="0"/>
                              <w:marBottom w:val="0"/>
                              <w:divBdr>
                                <w:top w:val="none" w:sz="0" w:space="0" w:color="auto"/>
                                <w:left w:val="none" w:sz="0" w:space="0" w:color="auto"/>
                                <w:bottom w:val="none" w:sz="0" w:space="0" w:color="auto"/>
                                <w:right w:val="none" w:sz="0" w:space="0" w:color="auto"/>
                              </w:divBdr>
                              <w:divsChild>
                                <w:div w:id="1145121079">
                                  <w:marLeft w:val="0"/>
                                  <w:marRight w:val="0"/>
                                  <w:marTop w:val="0"/>
                                  <w:marBottom w:val="0"/>
                                  <w:divBdr>
                                    <w:top w:val="none" w:sz="0" w:space="0" w:color="auto"/>
                                    <w:left w:val="none" w:sz="0" w:space="0" w:color="auto"/>
                                    <w:bottom w:val="none" w:sz="0" w:space="0" w:color="auto"/>
                                    <w:right w:val="none" w:sz="0" w:space="0" w:color="auto"/>
                                  </w:divBdr>
                                  <w:divsChild>
                                    <w:div w:id="1760171758">
                                      <w:marLeft w:val="0"/>
                                      <w:marRight w:val="0"/>
                                      <w:marTop w:val="0"/>
                                      <w:marBottom w:val="0"/>
                                      <w:divBdr>
                                        <w:top w:val="none" w:sz="0" w:space="0" w:color="auto"/>
                                        <w:left w:val="none" w:sz="0" w:space="0" w:color="auto"/>
                                        <w:bottom w:val="none" w:sz="0" w:space="0" w:color="auto"/>
                                        <w:right w:val="none" w:sz="0" w:space="0" w:color="auto"/>
                                      </w:divBdr>
                                      <w:divsChild>
                                        <w:div w:id="981933257">
                                          <w:marLeft w:val="0"/>
                                          <w:marRight w:val="0"/>
                                          <w:marTop w:val="0"/>
                                          <w:marBottom w:val="330"/>
                                          <w:divBdr>
                                            <w:top w:val="none" w:sz="0" w:space="0" w:color="auto"/>
                                            <w:left w:val="none" w:sz="0" w:space="0" w:color="auto"/>
                                            <w:bottom w:val="none" w:sz="0" w:space="0" w:color="auto"/>
                                            <w:right w:val="none" w:sz="0" w:space="0" w:color="auto"/>
                                          </w:divBdr>
                                          <w:divsChild>
                                            <w:div w:id="164989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chart" Target="charts/chart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2.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3.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4.xml"/></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275554814347248"/>
          <c:y val="5.1639626442044013E-2"/>
          <c:w val="0.86239555910276733"/>
          <c:h val="0.6596866467866529"/>
        </c:manualLayout>
      </c:layout>
      <c:barChart>
        <c:barDir val="col"/>
        <c:grouping val="clustered"/>
        <c:varyColors val="0"/>
        <c:ser>
          <c:idx val="0"/>
          <c:order val="0"/>
          <c:tx>
            <c:strRef>
              <c:f>ورقة1!$A$2</c:f>
              <c:strCache>
                <c:ptCount val="1"/>
                <c:pt idx="0">
                  <c:v>Male</c:v>
                </c:pt>
              </c:strCache>
            </c:strRef>
          </c:tx>
          <c:invertIfNegative val="0"/>
          <c:dLbls>
            <c:dLbl>
              <c:idx val="0"/>
              <c:layout>
                <c:manualLayout>
                  <c:x val="-6.2768175158137048E-3"/>
                  <c:y val="4.3809178664381755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84D-4DD6-A2AE-78165CD37836}"/>
                </c:ext>
              </c:extLst>
            </c:dLbl>
            <c:dLbl>
              <c:idx val="1"/>
              <c:layout>
                <c:manualLayout>
                  <c:x val="0"/>
                  <c:y val="1.4272724277666311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84D-4DD6-A2AE-78165CD37836}"/>
                </c:ext>
              </c:extLst>
            </c:dLbl>
            <c:dLbl>
              <c:idx val="2"/>
              <c:layout>
                <c:manualLayout>
                  <c:x val="-3.1384674542160652E-3"/>
                  <c:y val="4.6761593929684042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684D-4DD6-A2AE-78165CD37836}"/>
                </c:ext>
              </c:extLst>
            </c:dLbl>
            <c:dLbl>
              <c:idx val="3"/>
              <c:layout>
                <c:manualLayout>
                  <c:x val="-3.1384087579068389E-3"/>
                  <c:y val="1.525714097453299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84D-4DD6-A2AE-78165CD37836}"/>
                </c:ext>
              </c:extLst>
            </c:dLbl>
            <c:dLbl>
              <c:idx val="4"/>
              <c:layout>
                <c:manualLayout>
                  <c:x val="-1.1269014973733427E-4"/>
                  <c:y val="2.3625341811353586E-2"/>
                </c:manualLayout>
              </c:layout>
              <c:tx>
                <c:rich>
                  <a:bodyPr/>
                  <a:lstStyle/>
                  <a:p>
                    <a:r>
                      <a:rPr lang="en-US"/>
                      <a:t>6.0</a:t>
                    </a:r>
                  </a:p>
                </c:rich>
              </c:tx>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84D-4DD6-A2AE-78165CD37836}"/>
                </c:ext>
              </c:extLst>
            </c:dLbl>
            <c:dLbl>
              <c:idx val="5"/>
              <c:layout>
                <c:manualLayout>
                  <c:x val="-3.1322893686763754E-3"/>
                  <c:y val="4.6761593929684042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684D-4DD6-A2AE-78165CD37836}"/>
                </c:ext>
              </c:extLst>
            </c:dLbl>
            <c:dLbl>
              <c:idx val="6"/>
              <c:layout>
                <c:manualLayout>
                  <c:x val="-1.2322536838719741E-2"/>
                  <c:y val="1.3288307580799259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684D-4DD6-A2AE-78165CD37836}"/>
                </c:ext>
              </c:extLst>
            </c:dLbl>
            <c:spPr>
              <a:noFill/>
              <a:ln>
                <a:noFill/>
              </a:ln>
              <a:effectLst/>
            </c:spPr>
            <c:txPr>
              <a:bodyPr/>
              <a:lstStyle/>
              <a:p>
                <a:pPr>
                  <a:defRPr sz="700">
                    <a:latin typeface="Arial" pitchFamily="34" charset="0"/>
                    <a:cs typeface="Arial"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ورقة1!$B$1:$H$1</c:f>
              <c:strCache>
                <c:ptCount val="7"/>
                <c:pt idx="0">
                  <c:v>0-17</c:v>
                </c:pt>
                <c:pt idx="1">
                  <c:v>18-34</c:v>
                </c:pt>
                <c:pt idx="2">
                  <c:v>35-44</c:v>
                </c:pt>
                <c:pt idx="3">
                  <c:v>45-54</c:v>
                </c:pt>
                <c:pt idx="4">
                  <c:v>55-64</c:v>
                </c:pt>
                <c:pt idx="5">
                  <c:v>65-74</c:v>
                </c:pt>
                <c:pt idx="6">
                  <c:v>75 +</c:v>
                </c:pt>
              </c:strCache>
            </c:strRef>
          </c:cat>
          <c:val>
            <c:numRef>
              <c:f>ورقة1!$B$2:$H$2</c:f>
              <c:numCache>
                <c:formatCode>0.0</c:formatCode>
                <c:ptCount val="7"/>
                <c:pt idx="0">
                  <c:v>1.1000000000000001</c:v>
                </c:pt>
                <c:pt idx="1">
                  <c:v>1.9000000000000001</c:v>
                </c:pt>
                <c:pt idx="2">
                  <c:v>2.7</c:v>
                </c:pt>
                <c:pt idx="3">
                  <c:v>3.8</c:v>
                </c:pt>
                <c:pt idx="4">
                  <c:v>6</c:v>
                </c:pt>
                <c:pt idx="5">
                  <c:v>12</c:v>
                </c:pt>
                <c:pt idx="6">
                  <c:v>27.1</c:v>
                </c:pt>
              </c:numCache>
            </c:numRef>
          </c:val>
          <c:extLst>
            <c:ext xmlns:c16="http://schemas.microsoft.com/office/drawing/2014/chart" uri="{C3380CC4-5D6E-409C-BE32-E72D297353CC}">
              <c16:uniqueId val="{00000007-684D-4DD6-A2AE-78165CD37836}"/>
            </c:ext>
          </c:extLst>
        </c:ser>
        <c:ser>
          <c:idx val="1"/>
          <c:order val="1"/>
          <c:tx>
            <c:strRef>
              <c:f>ورقة1!$A$3</c:f>
              <c:strCache>
                <c:ptCount val="1"/>
                <c:pt idx="0">
                  <c:v>Female</c:v>
                </c:pt>
              </c:strCache>
            </c:strRef>
          </c:tx>
          <c:spPr>
            <a:solidFill>
              <a:schemeClr val="accent2">
                <a:lumMod val="60000"/>
                <a:lumOff val="40000"/>
              </a:schemeClr>
            </a:solidFill>
          </c:spPr>
          <c:invertIfNegative val="0"/>
          <c:dLbls>
            <c:dLbl>
              <c:idx val="0"/>
              <c:layout>
                <c:manualLayout>
                  <c:x val="3.1384674542160652E-3"/>
                  <c:y val="3.740927514374760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684D-4DD6-A2AE-78165CD37836}"/>
                </c:ext>
              </c:extLst>
            </c:dLbl>
            <c:dLbl>
              <c:idx val="1"/>
              <c:layout>
                <c:manualLayout>
                  <c:x val="1.5692337271080343E-2"/>
                  <c:y val="3.740927514374760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684D-4DD6-A2AE-78165CD37836}"/>
                </c:ext>
              </c:extLst>
            </c:dLbl>
            <c:dLbl>
              <c:idx val="2"/>
              <c:layout>
                <c:manualLayout>
                  <c:x val="1.2553869816864608E-2"/>
                  <c:y val="3.740927514374760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684D-4DD6-A2AE-78165CD37836}"/>
                </c:ext>
              </c:extLst>
            </c:dLbl>
            <c:dLbl>
              <c:idx val="3"/>
              <c:layout>
                <c:manualLayout>
                  <c:x val="9.4154023626489558E-3"/>
                  <c:y val="4.676159392968404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684D-4DD6-A2AE-78165CD37836}"/>
                </c:ext>
              </c:extLst>
            </c:dLbl>
            <c:dLbl>
              <c:idx val="4"/>
              <c:layout>
                <c:manualLayout>
                  <c:x val="1.5241283190584539E-2"/>
                  <c:y val="2.264092511448657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684D-4DD6-A2AE-78165CD37836}"/>
                </c:ext>
              </c:extLst>
            </c:dLbl>
            <c:dLbl>
              <c:idx val="5"/>
              <c:layout>
                <c:manualLayout>
                  <c:x val="9.6408448187548842E-3"/>
                  <c:y val="1.32889664942509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684D-4DD6-A2AE-78165CD37836}"/>
                </c:ext>
              </c:extLst>
            </c:dLbl>
            <c:dLbl>
              <c:idx val="6"/>
              <c:layout>
                <c:manualLayout>
                  <c:x val="1.5804972184830911E-2"/>
                  <c:y val="1.427272427766631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684D-4DD6-A2AE-78165CD37836}"/>
                </c:ext>
              </c:extLst>
            </c:dLbl>
            <c:spPr>
              <a:noFill/>
              <a:ln>
                <a:noFill/>
              </a:ln>
              <a:effectLst/>
            </c:spPr>
            <c:txPr>
              <a:bodyPr/>
              <a:lstStyle/>
              <a:p>
                <a:pPr>
                  <a:defRPr sz="7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ورقة1!$B$1:$H$1</c:f>
              <c:strCache>
                <c:ptCount val="7"/>
                <c:pt idx="0">
                  <c:v>0-17</c:v>
                </c:pt>
                <c:pt idx="1">
                  <c:v>18-34</c:v>
                </c:pt>
                <c:pt idx="2">
                  <c:v>35-44</c:v>
                </c:pt>
                <c:pt idx="3">
                  <c:v>45-54</c:v>
                </c:pt>
                <c:pt idx="4">
                  <c:v>55-64</c:v>
                </c:pt>
                <c:pt idx="5">
                  <c:v>65-74</c:v>
                </c:pt>
                <c:pt idx="6">
                  <c:v>75 +</c:v>
                </c:pt>
              </c:strCache>
            </c:strRef>
          </c:cat>
          <c:val>
            <c:numRef>
              <c:f>ورقة1!$B$3:$H$3</c:f>
              <c:numCache>
                <c:formatCode>0.0</c:formatCode>
                <c:ptCount val="7"/>
                <c:pt idx="0">
                  <c:v>0.8</c:v>
                </c:pt>
                <c:pt idx="1">
                  <c:v>0.9</c:v>
                </c:pt>
                <c:pt idx="2">
                  <c:v>1.4</c:v>
                </c:pt>
                <c:pt idx="3">
                  <c:v>2.4</c:v>
                </c:pt>
                <c:pt idx="4">
                  <c:v>5.5</c:v>
                </c:pt>
                <c:pt idx="5">
                  <c:v>13.9</c:v>
                </c:pt>
                <c:pt idx="6">
                  <c:v>30.8</c:v>
                </c:pt>
              </c:numCache>
            </c:numRef>
          </c:val>
          <c:extLst>
            <c:ext xmlns:c16="http://schemas.microsoft.com/office/drawing/2014/chart" uri="{C3380CC4-5D6E-409C-BE32-E72D297353CC}">
              <c16:uniqueId val="{0000000F-684D-4DD6-A2AE-78165CD37836}"/>
            </c:ext>
          </c:extLst>
        </c:ser>
        <c:dLbls>
          <c:showLegendKey val="0"/>
          <c:showVal val="1"/>
          <c:showCatName val="0"/>
          <c:showSerName val="0"/>
          <c:showPercent val="0"/>
          <c:showBubbleSize val="0"/>
        </c:dLbls>
        <c:gapWidth val="150"/>
        <c:axId val="66999808"/>
        <c:axId val="67001728"/>
      </c:barChart>
      <c:catAx>
        <c:axId val="66999808"/>
        <c:scaling>
          <c:orientation val="minMax"/>
        </c:scaling>
        <c:delete val="0"/>
        <c:axPos val="b"/>
        <c:title>
          <c:tx>
            <c:rich>
              <a:bodyPr/>
              <a:lstStyle/>
              <a:p>
                <a:pPr>
                  <a:defRPr sz="800" b="0" i="0" u="none" strike="noStrike" baseline="0">
                    <a:solidFill>
                      <a:srgbClr val="000000"/>
                    </a:solidFill>
                    <a:latin typeface="Arial" pitchFamily="34" charset="0"/>
                    <a:ea typeface="Arial"/>
                    <a:cs typeface="Arial" pitchFamily="34" charset="0"/>
                  </a:defRPr>
                </a:pPr>
                <a:r>
                  <a:rPr lang="en-US" sz="800" b="1" i="0" u="none" strike="noStrike" baseline="0">
                    <a:solidFill>
                      <a:srgbClr val="000000"/>
                    </a:solidFill>
                    <a:latin typeface="Arial" pitchFamily="34" charset="0"/>
                    <a:cs typeface="Arial" pitchFamily="34" charset="0"/>
                  </a:rPr>
                  <a:t> Age Group</a:t>
                </a:r>
              </a:p>
            </c:rich>
          </c:tx>
          <c:layout>
            <c:manualLayout>
              <c:xMode val="edge"/>
              <c:yMode val="edge"/>
              <c:x val="0.41197761123235588"/>
              <c:y val="0.86193557015564171"/>
            </c:manualLayout>
          </c:layout>
          <c:overlay val="0"/>
        </c:title>
        <c:numFmt formatCode="General" sourceLinked="1"/>
        <c:majorTickMark val="out"/>
        <c:minorTickMark val="none"/>
        <c:tickLblPos val="nextTo"/>
        <c:txPr>
          <a:bodyPr rot="0"/>
          <a:lstStyle/>
          <a:p>
            <a:pPr rtl="0">
              <a:defRPr>
                <a:latin typeface="Arial" pitchFamily="34" charset="0"/>
                <a:cs typeface="Arial" pitchFamily="34" charset="0"/>
              </a:defRPr>
            </a:pPr>
            <a:endParaRPr lang="ar-SA"/>
          </a:p>
        </c:txPr>
        <c:crossAx val="67001728"/>
        <c:crosses val="autoZero"/>
        <c:auto val="1"/>
        <c:lblAlgn val="ctr"/>
        <c:lblOffset val="100"/>
        <c:noMultiLvlLbl val="0"/>
      </c:catAx>
      <c:valAx>
        <c:axId val="67001728"/>
        <c:scaling>
          <c:orientation val="minMax"/>
        </c:scaling>
        <c:delete val="0"/>
        <c:axPos val="l"/>
        <c:title>
          <c:tx>
            <c:rich>
              <a:bodyPr/>
              <a:lstStyle/>
              <a:p>
                <a:pPr>
                  <a:defRPr sz="790" b="1" i="0" u="none" strike="noStrike" baseline="0">
                    <a:solidFill>
                      <a:srgbClr val="000000"/>
                    </a:solidFill>
                    <a:latin typeface="Calibri"/>
                    <a:ea typeface="Calibri"/>
                    <a:cs typeface="Calibri"/>
                  </a:defRPr>
                </a:pPr>
                <a:r>
                  <a:rPr lang="en-GB"/>
                  <a:t>Percentage</a:t>
                </a:r>
              </a:p>
            </c:rich>
          </c:tx>
          <c:layout>
            <c:manualLayout>
              <c:xMode val="edge"/>
              <c:yMode val="edge"/>
              <c:x val="9.4862600006324505E-3"/>
              <c:y val="0.1234873029406356"/>
            </c:manualLayout>
          </c:layout>
          <c:overlay val="0"/>
        </c:title>
        <c:numFmt formatCode="0.0" sourceLinked="1"/>
        <c:majorTickMark val="out"/>
        <c:minorTickMark val="none"/>
        <c:tickLblPos val="nextTo"/>
        <c:txPr>
          <a:bodyPr/>
          <a:lstStyle/>
          <a:p>
            <a:pPr>
              <a:defRPr>
                <a:latin typeface="Arial" pitchFamily="34" charset="0"/>
                <a:cs typeface="Arial" pitchFamily="34" charset="0"/>
              </a:defRPr>
            </a:pPr>
            <a:endParaRPr lang="ar-SA"/>
          </a:p>
        </c:txPr>
        <c:crossAx val="66999808"/>
        <c:crosses val="autoZero"/>
        <c:crossBetween val="between"/>
      </c:valAx>
    </c:plotArea>
    <c:legend>
      <c:legendPos val="r"/>
      <c:layout>
        <c:manualLayout>
          <c:xMode val="edge"/>
          <c:yMode val="edge"/>
          <c:x val="0.33767624830030951"/>
          <c:y val="4.9692896668171532E-2"/>
          <c:w val="0.24644594124531247"/>
          <c:h val="0.12913586438637839"/>
        </c:manualLayout>
      </c:layout>
      <c:overlay val="0"/>
      <c:txPr>
        <a:bodyPr/>
        <a:lstStyle/>
        <a:p>
          <a:pPr>
            <a:defRPr sz="800">
              <a:latin typeface="Arial" pitchFamily="34" charset="0"/>
              <a:cs typeface="Arial" pitchFamily="34" charset="0"/>
            </a:defRPr>
          </a:pPr>
          <a:endParaRPr lang="ar-SA"/>
        </a:p>
      </c:txPr>
    </c:legend>
    <c:plotVisOnly val="1"/>
    <c:dispBlanksAs val="gap"/>
    <c:showDLblsOverMax val="0"/>
  </c:chart>
  <c:spPr>
    <a:ln>
      <a:noFill/>
    </a:ln>
  </c:spPr>
  <c:txPr>
    <a:bodyPr/>
    <a:lstStyle/>
    <a:p>
      <a:pPr>
        <a:defRPr sz="793">
          <a:cs typeface="+mn-cs"/>
        </a:defRPr>
      </a:pPr>
      <a:endParaRPr lang="ar-S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3772714383470526E-2"/>
          <c:y val="0.13275569732426548"/>
          <c:w val="0.87545206113941643"/>
          <c:h val="0.68262154730661839"/>
        </c:manualLayout>
      </c:layout>
      <c:lineChart>
        <c:grouping val="standard"/>
        <c:varyColors val="0"/>
        <c:ser>
          <c:idx val="0"/>
          <c:order val="0"/>
          <c:tx>
            <c:strRef>
              <c:f>Sheet1!$A$2</c:f>
              <c:strCache>
                <c:ptCount val="1"/>
                <c:pt idx="0">
                  <c:v> Full Employment</c:v>
                </c:pt>
              </c:strCache>
            </c:strRef>
          </c:tx>
          <c:spPr>
            <a:ln w="12691">
              <a:solidFill>
                <a:srgbClr val="000080"/>
              </a:solidFill>
              <a:prstDash val="solid"/>
            </a:ln>
          </c:spPr>
          <c:marker>
            <c:symbol val="diamond"/>
            <c:size val="4"/>
            <c:spPr>
              <a:solidFill>
                <a:srgbClr val="000080"/>
              </a:solidFill>
              <a:ln>
                <a:solidFill>
                  <a:srgbClr val="000080"/>
                </a:solidFill>
                <a:prstDash val="solid"/>
              </a:ln>
            </c:spPr>
          </c:marker>
          <c:dLbls>
            <c:dLbl>
              <c:idx val="0"/>
              <c:layout>
                <c:manualLayout>
                  <c:x val="-3.7191984629517706E-2"/>
                  <c:y val="-5.902886588952153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D330-4606-92F2-A6644334D924}"/>
                </c:ext>
              </c:extLst>
            </c:dLbl>
            <c:dLbl>
              <c:idx val="1"/>
              <c:layout>
                <c:manualLayout>
                  <c:x val="-6.555630393809575E-2"/>
                  <c:y val="-4.321478305444300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D330-4606-92F2-A6644334D924}"/>
                </c:ext>
              </c:extLst>
            </c:dLbl>
            <c:dLbl>
              <c:idx val="2"/>
              <c:layout>
                <c:manualLayout>
                  <c:x val="-4.2440384451252783E-2"/>
                  <c:y val="-4.264074429956269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D330-4606-92F2-A6644334D924}"/>
                </c:ext>
              </c:extLst>
            </c:dLbl>
            <c:dLbl>
              <c:idx val="3"/>
              <c:layout>
                <c:manualLayout>
                  <c:x val="-3.2368173258003806E-2"/>
                  <c:y val="-5.260941308055039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D330-4606-92F2-A6644334D924}"/>
                </c:ext>
              </c:extLst>
            </c:dLbl>
            <c:dLbl>
              <c:idx val="4"/>
              <c:layout>
                <c:manualLayout>
                  <c:x val="-3.5493827492259683E-2"/>
                  <c:y val="-3.162816567015809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D330-4606-92F2-A6644334D924}"/>
                </c:ext>
              </c:extLst>
            </c:dLbl>
            <c:spPr>
              <a:noFill/>
              <a:ln>
                <a:noFill/>
              </a:ln>
              <a:effectLst/>
            </c:spPr>
            <c:txPr>
              <a:bodyPr/>
              <a:lstStyle/>
              <a:p>
                <a:pPr>
                  <a:defRPr sz="8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24-15</c:v>
                </c:pt>
                <c:pt idx="1">
                  <c:v>34-25</c:v>
                </c:pt>
                <c:pt idx="2">
                  <c:v>44-35</c:v>
                </c:pt>
                <c:pt idx="3">
                  <c:v>54-45</c:v>
                </c:pt>
                <c:pt idx="4">
                  <c:v>+55</c:v>
                </c:pt>
              </c:strCache>
            </c:strRef>
          </c:cat>
          <c:val>
            <c:numRef>
              <c:f>Sheet1!$B$2:$F$2</c:f>
              <c:numCache>
                <c:formatCode>General</c:formatCode>
                <c:ptCount val="5"/>
                <c:pt idx="0" formatCode="0.0">
                  <c:v>58</c:v>
                </c:pt>
                <c:pt idx="1">
                  <c:v>67.3</c:v>
                </c:pt>
                <c:pt idx="2">
                  <c:v>83.4</c:v>
                </c:pt>
                <c:pt idx="3">
                  <c:v>87.6</c:v>
                </c:pt>
                <c:pt idx="4">
                  <c:v>91.1</c:v>
                </c:pt>
              </c:numCache>
            </c:numRef>
          </c:val>
          <c:smooth val="1"/>
          <c:extLst>
            <c:ext xmlns:c16="http://schemas.microsoft.com/office/drawing/2014/chart" uri="{C3380CC4-5D6E-409C-BE32-E72D297353CC}">
              <c16:uniqueId val="{00000005-D330-4606-92F2-A6644334D924}"/>
            </c:ext>
          </c:extLst>
        </c:ser>
        <c:ser>
          <c:idx val="1"/>
          <c:order val="1"/>
          <c:tx>
            <c:strRef>
              <c:f>Sheet1!$A$3</c:f>
              <c:strCache>
                <c:ptCount val="1"/>
                <c:pt idx="0">
                  <c:v> Time Related Underemployment</c:v>
                </c:pt>
              </c:strCache>
            </c:strRef>
          </c:tx>
          <c:spPr>
            <a:ln w="12691">
              <a:solidFill>
                <a:srgbClr val="FF00FF"/>
              </a:solidFill>
              <a:prstDash val="solid"/>
            </a:ln>
          </c:spPr>
          <c:marker>
            <c:symbol val="square"/>
            <c:size val="4"/>
            <c:spPr>
              <a:solidFill>
                <a:srgbClr val="FF00FF"/>
              </a:solidFill>
              <a:ln>
                <a:solidFill>
                  <a:srgbClr val="FF00FF"/>
                </a:solidFill>
                <a:prstDash val="solid"/>
              </a:ln>
            </c:spPr>
          </c:marker>
          <c:dLbls>
            <c:dLbl>
              <c:idx val="0"/>
              <c:layout>
                <c:manualLayout>
                  <c:x val="-2.8788912338845452E-2"/>
                  <c:y val="-5.845482713464248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D330-4606-92F2-A6644334D924}"/>
                </c:ext>
              </c:extLst>
            </c:dLbl>
            <c:dLbl>
              <c:idx val="1"/>
              <c:layout>
                <c:manualLayout>
                  <c:x val="-3.4037097176768588E-2"/>
                  <c:y val="-4.67640277348303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D330-4606-92F2-A6644334D924}"/>
                </c:ext>
              </c:extLst>
            </c:dLbl>
            <c:dLbl>
              <c:idx val="2"/>
              <c:layout>
                <c:manualLayout>
                  <c:x val="-3.4037097176768588E-2"/>
                  <c:y val="-2.922741356732123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D330-4606-92F2-A6644334D924}"/>
                </c:ext>
              </c:extLst>
            </c:dLbl>
            <c:dLbl>
              <c:idx val="3"/>
              <c:layout>
                <c:manualLayout>
                  <c:x val="-3.8860903968235716E-2"/>
                  <c:y val="-3.507281326722731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D330-4606-92F2-A6644334D924}"/>
                </c:ext>
              </c:extLst>
            </c:dLbl>
            <c:dLbl>
              <c:idx val="4"/>
              <c:layout>
                <c:manualLayout>
                  <c:x val="-3.2763748053590412E-2"/>
                  <c:y val="-3.162816567015809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D330-4606-92F2-A6644334D924}"/>
                </c:ext>
              </c:extLst>
            </c:dLbl>
            <c:spPr>
              <a:noFill/>
              <a:ln>
                <a:noFill/>
              </a:ln>
              <a:effectLst/>
            </c:spPr>
            <c:txPr>
              <a:bodyPr/>
              <a:lstStyle/>
              <a:p>
                <a:pPr>
                  <a:defRPr sz="8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24-15</c:v>
                </c:pt>
                <c:pt idx="1">
                  <c:v>34-25</c:v>
                </c:pt>
                <c:pt idx="2">
                  <c:v>44-35</c:v>
                </c:pt>
                <c:pt idx="3">
                  <c:v>54-45</c:v>
                </c:pt>
                <c:pt idx="4">
                  <c:v>+55</c:v>
                </c:pt>
              </c:strCache>
            </c:strRef>
          </c:cat>
          <c:val>
            <c:numRef>
              <c:f>Sheet1!$B$3:$F$3</c:f>
              <c:numCache>
                <c:formatCode>General</c:formatCode>
                <c:ptCount val="5"/>
                <c:pt idx="0">
                  <c:v>1.9</c:v>
                </c:pt>
                <c:pt idx="1">
                  <c:v>1.9</c:v>
                </c:pt>
                <c:pt idx="2">
                  <c:v>1.2</c:v>
                </c:pt>
                <c:pt idx="3">
                  <c:v>0.9</c:v>
                </c:pt>
                <c:pt idx="4">
                  <c:v>0.4</c:v>
                </c:pt>
              </c:numCache>
            </c:numRef>
          </c:val>
          <c:smooth val="1"/>
          <c:extLst>
            <c:ext xmlns:c16="http://schemas.microsoft.com/office/drawing/2014/chart" uri="{C3380CC4-5D6E-409C-BE32-E72D297353CC}">
              <c16:uniqueId val="{0000000B-D330-4606-92F2-A6644334D924}"/>
            </c:ext>
          </c:extLst>
        </c:ser>
        <c:ser>
          <c:idx val="2"/>
          <c:order val="2"/>
          <c:tx>
            <c:strRef>
              <c:f>Sheet1!$A$4</c:f>
              <c:strCache>
                <c:ptCount val="1"/>
                <c:pt idx="0">
                  <c:v>    Revised Unemployment Rate</c:v>
                </c:pt>
              </c:strCache>
            </c:strRef>
          </c:tx>
          <c:spPr>
            <a:ln w="12691">
              <a:solidFill>
                <a:srgbClr val="003366"/>
              </a:solidFill>
              <a:prstDash val="solid"/>
            </a:ln>
          </c:spPr>
          <c:marker>
            <c:symbol val="square"/>
            <c:size val="4"/>
            <c:spPr>
              <a:solidFill>
                <a:srgbClr val="FFFF00"/>
              </a:solidFill>
              <a:ln>
                <a:solidFill>
                  <a:srgbClr val="0000FF"/>
                </a:solidFill>
                <a:prstDash val="solid"/>
              </a:ln>
            </c:spPr>
          </c:marker>
          <c:dLbls>
            <c:dLbl>
              <c:idx val="0"/>
              <c:layout>
                <c:manualLayout>
                  <c:x val="-3.2763533069777612E-2"/>
                  <c:y val="5.271360945026448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D330-4606-92F2-A6644334D924}"/>
                </c:ext>
              </c:extLst>
            </c:dLbl>
            <c:dLbl>
              <c:idx val="1"/>
              <c:layout>
                <c:manualLayout>
                  <c:x val="-1.3651472112407506E-2"/>
                  <c:y val="-4.744224850523712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D330-4606-92F2-A6644334D924}"/>
                </c:ext>
              </c:extLst>
            </c:dLbl>
            <c:dLbl>
              <c:idx val="2"/>
              <c:layout>
                <c:manualLayout>
                  <c:x val="-3.1094613731059435E-2"/>
                  <c:y val="-4.676402773483049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D330-4606-92F2-A6644334D924}"/>
                </c:ext>
              </c:extLst>
            </c:dLbl>
            <c:dLbl>
              <c:idx val="3"/>
              <c:layout>
                <c:manualLayout>
                  <c:x val="-3.4037097176768588E-2"/>
                  <c:y val="-5.260942743473665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D330-4606-92F2-A6644334D924}"/>
                </c:ext>
              </c:extLst>
            </c:dLbl>
            <c:dLbl>
              <c:idx val="4"/>
              <c:layout>
                <c:manualLayout>
                  <c:x val="-2.457264980233325E-2"/>
                  <c:y val="-5.271360945026448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0-D330-4606-92F2-A6644334D924}"/>
                </c:ext>
              </c:extLst>
            </c:dLbl>
            <c:spPr>
              <a:noFill/>
              <a:ln>
                <a:noFill/>
              </a:ln>
              <a:effectLst/>
            </c:spPr>
            <c:txPr>
              <a:bodyPr/>
              <a:lstStyle/>
              <a:p>
                <a:pPr>
                  <a:defRPr sz="8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Sheet1!$B$1:$F$1</c:f>
              <c:strCache>
                <c:ptCount val="5"/>
                <c:pt idx="0">
                  <c:v>24-15</c:v>
                </c:pt>
                <c:pt idx="1">
                  <c:v>34-25</c:v>
                </c:pt>
                <c:pt idx="2">
                  <c:v>44-35</c:v>
                </c:pt>
                <c:pt idx="3">
                  <c:v>54-45</c:v>
                </c:pt>
                <c:pt idx="4">
                  <c:v>+55</c:v>
                </c:pt>
              </c:strCache>
            </c:strRef>
          </c:cat>
          <c:val>
            <c:numRef>
              <c:f>Sheet1!$B$4:$F$4</c:f>
              <c:numCache>
                <c:formatCode>0.0</c:formatCode>
                <c:ptCount val="5"/>
                <c:pt idx="0" formatCode="General">
                  <c:v>40.1</c:v>
                </c:pt>
                <c:pt idx="1">
                  <c:v>30.8</c:v>
                </c:pt>
                <c:pt idx="2" formatCode="General">
                  <c:v>15.4</c:v>
                </c:pt>
                <c:pt idx="3" formatCode="General">
                  <c:v>11.5</c:v>
                </c:pt>
                <c:pt idx="4" formatCode="General">
                  <c:v>8.5</c:v>
                </c:pt>
              </c:numCache>
            </c:numRef>
          </c:val>
          <c:smooth val="1"/>
          <c:extLst>
            <c:ext xmlns:c16="http://schemas.microsoft.com/office/drawing/2014/chart" uri="{C3380CC4-5D6E-409C-BE32-E72D297353CC}">
              <c16:uniqueId val="{00000011-D330-4606-92F2-A6644334D924}"/>
            </c:ext>
          </c:extLst>
        </c:ser>
        <c:dLbls>
          <c:showLegendKey val="0"/>
          <c:showVal val="1"/>
          <c:showCatName val="0"/>
          <c:showSerName val="0"/>
          <c:showPercent val="0"/>
          <c:showBubbleSize val="0"/>
        </c:dLbls>
        <c:marker val="1"/>
        <c:smooth val="0"/>
        <c:axId val="149026688"/>
        <c:axId val="149061632"/>
      </c:lineChart>
      <c:catAx>
        <c:axId val="149026688"/>
        <c:scaling>
          <c:orientation val="minMax"/>
        </c:scaling>
        <c:delete val="0"/>
        <c:axPos val="b"/>
        <c:title>
          <c:tx>
            <c:rich>
              <a:bodyPr/>
              <a:lstStyle/>
              <a:p>
                <a:pPr>
                  <a:defRPr sz="800" b="1" i="0" u="none" strike="noStrike" baseline="0">
                    <a:solidFill>
                      <a:srgbClr val="000000"/>
                    </a:solidFill>
                    <a:latin typeface="Arial"/>
                    <a:ea typeface="Arial"/>
                    <a:cs typeface="Arial"/>
                  </a:defRPr>
                </a:pPr>
                <a:r>
                  <a:rPr lang="en-US" sz="800"/>
                  <a:t>Age Groups</a:t>
                </a:r>
              </a:p>
            </c:rich>
          </c:tx>
          <c:layout>
            <c:manualLayout>
              <c:xMode val="edge"/>
              <c:yMode val="edge"/>
              <c:x val="0.39056530801298422"/>
              <c:y val="0.91230158730158761"/>
            </c:manualLayout>
          </c:layout>
          <c:overlay val="0"/>
          <c:spPr>
            <a:noFill/>
            <a:ln w="25382">
              <a:noFill/>
            </a:ln>
          </c:spPr>
        </c:title>
        <c:numFmt formatCode="General" sourceLinked="1"/>
        <c:majorTickMark val="out"/>
        <c:minorTickMark val="none"/>
        <c:tickLblPos val="nextTo"/>
        <c:spPr>
          <a:ln w="3173">
            <a:solidFill>
              <a:srgbClr val="000000"/>
            </a:solidFill>
            <a:prstDash val="solid"/>
          </a:ln>
        </c:spPr>
        <c:txPr>
          <a:bodyPr rot="0" vert="horz"/>
          <a:lstStyle/>
          <a:p>
            <a:pPr rtl="1">
              <a:defRPr sz="700" b="0" i="0" u="none" strike="noStrike" baseline="0">
                <a:solidFill>
                  <a:srgbClr val="000000"/>
                </a:solidFill>
                <a:latin typeface="Arial"/>
                <a:ea typeface="Arial"/>
                <a:cs typeface="Arial"/>
              </a:defRPr>
            </a:pPr>
            <a:endParaRPr lang="ar-SA"/>
          </a:p>
        </c:txPr>
        <c:crossAx val="149061632"/>
        <c:crosses val="autoZero"/>
        <c:auto val="1"/>
        <c:lblAlgn val="ctr"/>
        <c:lblOffset val="100"/>
        <c:tickLblSkip val="1"/>
        <c:tickMarkSkip val="1"/>
        <c:noMultiLvlLbl val="0"/>
      </c:catAx>
      <c:valAx>
        <c:axId val="149061632"/>
        <c:scaling>
          <c:orientation val="minMax"/>
          <c:max val="100"/>
          <c:min val="0"/>
        </c:scaling>
        <c:delete val="0"/>
        <c:axPos val="l"/>
        <c:title>
          <c:tx>
            <c:rich>
              <a:bodyPr/>
              <a:lstStyle/>
              <a:p>
                <a:pPr>
                  <a:defRPr sz="800" b="1" i="0" u="none" strike="noStrike" baseline="0">
                    <a:solidFill>
                      <a:srgbClr val="000000"/>
                    </a:solidFill>
                    <a:latin typeface="Arial"/>
                    <a:ea typeface="Arial"/>
                    <a:cs typeface="Arial"/>
                  </a:defRPr>
                </a:pPr>
                <a:r>
                  <a:rPr lang="en-US" sz="800"/>
                  <a:t>Percent</a:t>
                </a:r>
              </a:p>
            </c:rich>
          </c:tx>
          <c:layout>
            <c:manualLayout>
              <c:xMode val="edge"/>
              <c:yMode val="edge"/>
              <c:x val="3.1842219404778888E-3"/>
              <c:y val="0.327626845989755"/>
            </c:manualLayout>
          </c:layout>
          <c:overlay val="0"/>
          <c:spPr>
            <a:noFill/>
            <a:ln w="25382">
              <a:noFill/>
            </a:ln>
          </c:spPr>
        </c:title>
        <c:numFmt formatCode="0" sourceLinked="0"/>
        <c:majorTickMark val="out"/>
        <c:minorTickMark val="none"/>
        <c:tickLblPos val="nextTo"/>
        <c:spPr>
          <a:ln w="3173">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49026688"/>
        <c:crosses val="autoZero"/>
        <c:crossBetween val="between"/>
        <c:majorUnit val="20"/>
        <c:minorUnit val="2"/>
      </c:valAx>
      <c:spPr>
        <a:noFill/>
        <a:ln w="25382">
          <a:noFill/>
        </a:ln>
      </c:spPr>
    </c:plotArea>
    <c:legend>
      <c:legendPos val="t"/>
      <c:layout>
        <c:manualLayout>
          <c:xMode val="edge"/>
          <c:yMode val="edge"/>
          <c:x val="2.5974025974026652E-2"/>
          <c:y val="1.1194029850746271E-2"/>
          <c:w val="0.93822514847760075"/>
          <c:h val="0.14462801738918307"/>
        </c:manualLayout>
      </c:layout>
      <c:overlay val="0"/>
      <c:spPr>
        <a:noFill/>
        <a:ln w="3173">
          <a:noFill/>
          <a:prstDash val="solid"/>
        </a:ln>
      </c:spPr>
      <c:txPr>
        <a:bodyPr/>
        <a:lstStyle/>
        <a:p>
          <a:pPr>
            <a:defRPr sz="700" b="0" i="0" u="none" strike="noStrike" baseline="0">
              <a:solidFill>
                <a:srgbClr val="000000"/>
              </a:solidFill>
              <a:latin typeface="Arial"/>
              <a:ea typeface="Arial"/>
              <a:cs typeface="Arial"/>
            </a:defRPr>
          </a:pPr>
          <a:endParaRPr lang="ar-SA"/>
        </a:p>
      </c:txPr>
    </c:legend>
    <c:plotVisOnly val="1"/>
    <c:dispBlanksAs val="gap"/>
    <c:showDLblsOverMax val="0"/>
  </c:chart>
  <c:spPr>
    <a:noFill/>
    <a:ln w="3173">
      <a:noFill/>
      <a:prstDash val="solid"/>
    </a:ln>
  </c:spPr>
  <c:txPr>
    <a:bodyPr/>
    <a:lstStyle/>
    <a:p>
      <a:pPr>
        <a:defRPr sz="700" b="0" i="0" u="none" strike="noStrike" baseline="0">
          <a:solidFill>
            <a:srgbClr val="000000"/>
          </a:solidFill>
          <a:latin typeface="Arial"/>
          <a:ea typeface="Arial"/>
          <a:cs typeface="Arial"/>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46765842303899"/>
          <c:y val="6.8135477749637491E-2"/>
          <c:w val="0.86597230901692757"/>
          <c:h val="0.6400882622230587"/>
        </c:manualLayout>
      </c:layout>
      <c:lineChart>
        <c:grouping val="stacked"/>
        <c:varyColors val="0"/>
        <c:ser>
          <c:idx val="0"/>
          <c:order val="0"/>
          <c:tx>
            <c:strRef>
              <c:f>ورقة1!$A$2</c:f>
              <c:strCache>
                <c:ptCount val="1"/>
                <c:pt idx="0">
                  <c:v>فئة 1</c:v>
                </c:pt>
              </c:strCache>
            </c:strRef>
          </c:tx>
          <c:marker>
            <c:symbol val="circle"/>
            <c:size val="6"/>
          </c:marker>
          <c:dLbls>
            <c:dLbl>
              <c:idx val="0"/>
              <c:layout>
                <c:manualLayout>
                  <c:x val="-4.3413376746710093E-2"/>
                  <c:y val="-5.3408763372004786E-2"/>
                </c:manualLayout>
              </c:layout>
              <c:tx>
                <c:rich>
                  <a:bodyPr/>
                  <a:lstStyle/>
                  <a:p>
                    <a:r>
                      <a:rPr lang="en-US"/>
                      <a:t>10,280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24A-453F-B1DC-4FAB224D1B6E}"/>
                </c:ext>
              </c:extLst>
            </c:dLbl>
            <c:dLbl>
              <c:idx val="1"/>
              <c:layout>
                <c:manualLayout>
                  <c:x val="-4.6126712793379356E-2"/>
                  <c:y val="4.5192030545542931E-2"/>
                </c:manualLayout>
              </c:layout>
              <c:tx>
                <c:rich>
                  <a:bodyPr/>
                  <a:lstStyle/>
                  <a:p>
                    <a:r>
                      <a:rPr lang="en-US"/>
                      <a:t>7,360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024A-453F-B1DC-4FAB224D1B6E}"/>
                </c:ext>
              </c:extLst>
            </c:dLbl>
            <c:dLbl>
              <c:idx val="2"/>
              <c:layout>
                <c:manualLayout>
                  <c:x val="-4.0700040700040713E-2"/>
                  <c:y val="-2.875856489261781E-2"/>
                </c:manualLayout>
              </c:layout>
              <c:tx>
                <c:rich>
                  <a:bodyPr/>
                  <a:lstStyle/>
                  <a:p>
                    <a:r>
                      <a:rPr lang="en-US"/>
                      <a:t>9,036</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024A-453F-B1DC-4FAB224D1B6E}"/>
                </c:ext>
              </c:extLst>
            </c:dLbl>
            <c:dLbl>
              <c:idx val="3"/>
              <c:layout>
                <c:manualLayout>
                  <c:x val="-2.4420024420024451E-2"/>
                  <c:y val="-3.2866931305849119E-2"/>
                </c:manualLayout>
              </c:layout>
              <c:tx>
                <c:rich>
                  <a:bodyPr/>
                  <a:lstStyle/>
                  <a:p>
                    <a:r>
                      <a:rPr lang="en-US"/>
                      <a:t>7,584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024A-453F-B1DC-4FAB224D1B6E}"/>
                </c:ext>
              </c:extLst>
            </c:dLbl>
            <c:dLbl>
              <c:idx val="4"/>
              <c:layout>
                <c:manualLayout>
                  <c:x val="-5.1553384886718193E-2"/>
                  <c:y val="4.9300396958773827E-2"/>
                </c:manualLayout>
              </c:layout>
              <c:tx>
                <c:rich>
                  <a:bodyPr/>
                  <a:lstStyle/>
                  <a:p>
                    <a:r>
                      <a:rPr lang="en-US"/>
                      <a:t>5,380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024A-453F-B1DC-4FAB224D1B6E}"/>
                </c:ext>
              </c:extLst>
            </c:dLbl>
            <c:dLbl>
              <c:idx val="5"/>
              <c:layout>
                <c:manualLayout>
                  <c:x val="-5.1553384886718318E-2"/>
                  <c:y val="-4.1083664132311501E-2"/>
                </c:manualLayout>
              </c:layout>
              <c:tx>
                <c:rich>
                  <a:bodyPr/>
                  <a:lstStyle/>
                  <a:p>
                    <a:r>
                      <a:rPr lang="en-US"/>
                      <a:t>8,244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024A-453F-B1DC-4FAB224D1B6E}"/>
                </c:ext>
              </c:extLst>
            </c:dLbl>
            <c:dLbl>
              <c:idx val="6"/>
              <c:layout>
                <c:manualLayout>
                  <c:x val="-4.0700040700040713E-2"/>
                  <c:y val="-3.6975297719080313E-2"/>
                </c:manualLayout>
              </c:layout>
              <c:tx>
                <c:rich>
                  <a:bodyPr/>
                  <a:lstStyle/>
                  <a:p>
                    <a:r>
                      <a:rPr lang="en-US"/>
                      <a:t>8,569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024A-453F-B1DC-4FAB224D1B6E}"/>
                </c:ext>
              </c:extLst>
            </c:dLbl>
            <c:dLbl>
              <c:idx val="7"/>
              <c:layout>
                <c:manualLayout>
                  <c:x val="-3.2560032560032558E-2"/>
                  <c:y val="5.3408763372004786E-2"/>
                </c:manualLayout>
              </c:layout>
              <c:tx>
                <c:rich>
                  <a:bodyPr/>
                  <a:lstStyle/>
                  <a:p>
                    <a:r>
                      <a:rPr lang="en-US"/>
                      <a:t>6,348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024A-453F-B1DC-4FAB224D1B6E}"/>
                </c:ext>
              </c:extLst>
            </c:dLbl>
            <c:dLbl>
              <c:idx val="8"/>
              <c:layout>
                <c:manualLayout>
                  <c:x val="-1.899356597519327E-2"/>
                  <c:y val="-3.6975297719080313E-2"/>
                </c:manualLayout>
              </c:layout>
              <c:tx>
                <c:rich>
                  <a:bodyPr/>
                  <a:lstStyle/>
                  <a:p>
                    <a:r>
                      <a:rPr lang="en-US"/>
                      <a:t>11,620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024A-453F-B1DC-4FAB224D1B6E}"/>
                </c:ext>
              </c:extLst>
            </c:dLbl>
            <c:dLbl>
              <c:idx val="9"/>
              <c:layout>
                <c:manualLayout>
                  <c:x val="-5.1553384886718123E-2"/>
                  <c:y val="5.3408763372004786E-2"/>
                </c:manualLayout>
              </c:layout>
              <c:tx>
                <c:rich>
                  <a:bodyPr/>
                  <a:lstStyle/>
                  <a:p>
                    <a:r>
                      <a:rPr lang="en-US"/>
                      <a:t>4,297</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024A-453F-B1DC-4FAB224D1B6E}"/>
                </c:ext>
              </c:extLst>
            </c:dLbl>
            <c:dLbl>
              <c:idx val="10"/>
              <c:layout>
                <c:manualLayout>
                  <c:x val="-2.7133360466693886E-3"/>
                  <c:y val="4.5192030545542758E-2"/>
                </c:manualLayout>
              </c:layout>
              <c:tx>
                <c:rich>
                  <a:bodyPr/>
                  <a:lstStyle/>
                  <a:p>
                    <a:r>
                      <a:rPr lang="en-US"/>
                      <a:t>3,755</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024A-453F-B1DC-4FAB224D1B6E}"/>
                </c:ext>
              </c:extLst>
            </c:dLbl>
            <c:dLbl>
              <c:idx val="11"/>
              <c:layout>
                <c:manualLayout>
                  <c:x val="-3.2560032560032558E-2"/>
                  <c:y val="-4.1083664132311466E-2"/>
                </c:manualLayout>
              </c:layout>
              <c:tx>
                <c:rich>
                  <a:bodyPr/>
                  <a:lstStyle/>
                  <a:p>
                    <a:r>
                      <a:rPr lang="en-US"/>
                      <a:t>7,650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024A-453F-B1DC-4FAB224D1B6E}"/>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ورقة1!$B$1:$M$1</c:f>
              <c:strCache>
                <c:ptCount val="12"/>
                <c:pt idx="0">
                  <c:v> January</c:v>
                </c:pt>
                <c:pt idx="1">
                  <c:v>  February</c:v>
                </c:pt>
                <c:pt idx="2">
                  <c:v>March</c:v>
                </c:pt>
                <c:pt idx="3">
                  <c:v> April</c:v>
                </c:pt>
                <c:pt idx="4">
                  <c:v> May</c:v>
                </c:pt>
                <c:pt idx="5">
                  <c:v>June</c:v>
                </c:pt>
                <c:pt idx="6">
                  <c:v> July</c:v>
                </c:pt>
                <c:pt idx="7">
                  <c:v> August</c:v>
                </c:pt>
                <c:pt idx="8">
                  <c:v>September</c:v>
                </c:pt>
                <c:pt idx="9">
                  <c:v> October</c:v>
                </c:pt>
                <c:pt idx="10">
                  <c:v> November</c:v>
                </c:pt>
                <c:pt idx="11">
                  <c:v>December</c:v>
                </c:pt>
              </c:strCache>
            </c:strRef>
          </c:cat>
          <c:val>
            <c:numRef>
              <c:f>ورقة1!$B$2:$M$2</c:f>
              <c:numCache>
                <c:formatCode>General</c:formatCode>
                <c:ptCount val="12"/>
                <c:pt idx="0">
                  <c:v>10280</c:v>
                </c:pt>
                <c:pt idx="1">
                  <c:v>7360</c:v>
                </c:pt>
                <c:pt idx="2">
                  <c:v>9036</c:v>
                </c:pt>
                <c:pt idx="3">
                  <c:v>7584</c:v>
                </c:pt>
                <c:pt idx="4">
                  <c:v>5380</c:v>
                </c:pt>
                <c:pt idx="5">
                  <c:v>8244</c:v>
                </c:pt>
                <c:pt idx="6">
                  <c:v>8569</c:v>
                </c:pt>
                <c:pt idx="7">
                  <c:v>6348</c:v>
                </c:pt>
                <c:pt idx="8">
                  <c:v>11620</c:v>
                </c:pt>
                <c:pt idx="9">
                  <c:v>4297</c:v>
                </c:pt>
                <c:pt idx="10">
                  <c:v>3755</c:v>
                </c:pt>
                <c:pt idx="11">
                  <c:v>7650</c:v>
                </c:pt>
              </c:numCache>
            </c:numRef>
          </c:val>
          <c:smooth val="1"/>
          <c:extLst>
            <c:ext xmlns:c16="http://schemas.microsoft.com/office/drawing/2014/chart" uri="{C3380CC4-5D6E-409C-BE32-E72D297353CC}">
              <c16:uniqueId val="{0000000C-024A-453F-B1DC-4FAB224D1B6E}"/>
            </c:ext>
          </c:extLst>
        </c:ser>
        <c:dLbls>
          <c:showLegendKey val="0"/>
          <c:showVal val="1"/>
          <c:showCatName val="0"/>
          <c:showSerName val="0"/>
          <c:showPercent val="0"/>
          <c:showBubbleSize val="0"/>
        </c:dLbls>
        <c:marker val="1"/>
        <c:smooth val="0"/>
        <c:axId val="148219392"/>
        <c:axId val="155792128"/>
      </c:lineChart>
      <c:catAx>
        <c:axId val="148219392"/>
        <c:scaling>
          <c:orientation val="minMax"/>
        </c:scaling>
        <c:delete val="0"/>
        <c:axPos val="b"/>
        <c:numFmt formatCode="General" sourceLinked="0"/>
        <c:majorTickMark val="out"/>
        <c:minorTickMark val="none"/>
        <c:tickLblPos val="nextTo"/>
        <c:txPr>
          <a:bodyPr/>
          <a:lstStyle/>
          <a:p>
            <a:pPr>
              <a:defRPr>
                <a:latin typeface="Arial" pitchFamily="34" charset="0"/>
                <a:cs typeface="Arial" pitchFamily="34" charset="0"/>
              </a:defRPr>
            </a:pPr>
            <a:endParaRPr lang="ar-SA"/>
          </a:p>
        </c:txPr>
        <c:crossAx val="155792128"/>
        <c:crosses val="autoZero"/>
        <c:auto val="1"/>
        <c:lblAlgn val="ctr"/>
        <c:lblOffset val="100"/>
        <c:noMultiLvlLbl val="0"/>
      </c:catAx>
      <c:valAx>
        <c:axId val="155792128"/>
        <c:scaling>
          <c:orientation val="minMax"/>
        </c:scaling>
        <c:delete val="0"/>
        <c:axPos val="l"/>
        <c:numFmt formatCode="General" sourceLinked="1"/>
        <c:majorTickMark val="out"/>
        <c:minorTickMark val="none"/>
        <c:tickLblPos val="nextTo"/>
        <c:txPr>
          <a:bodyPr/>
          <a:lstStyle/>
          <a:p>
            <a:pPr>
              <a:defRPr>
                <a:latin typeface="Arial" pitchFamily="34" charset="0"/>
                <a:cs typeface="Arial" pitchFamily="34" charset="0"/>
              </a:defRPr>
            </a:pPr>
            <a:endParaRPr lang="ar-SA"/>
          </a:p>
        </c:txPr>
        <c:crossAx val="148219392"/>
        <c:crosses val="autoZero"/>
        <c:crossBetween val="between"/>
      </c:valAx>
      <c:spPr>
        <a:ln>
          <a:solidFill>
            <a:schemeClr val="accent1"/>
          </a:solidFill>
        </a:ln>
      </c:spPr>
    </c:plotArea>
    <c:plotVisOnly val="1"/>
    <c:dispBlanksAs val="zero"/>
    <c:showDLblsOverMax val="0"/>
  </c:chart>
  <c:spPr>
    <a:noFill/>
    <a:ln>
      <a:noFill/>
    </a:ln>
  </c:spPr>
  <c:txPr>
    <a:bodyPr/>
    <a:lstStyle/>
    <a:p>
      <a:pPr>
        <a:defRPr sz="800">
          <a:cs typeface="+mn-cs"/>
        </a:defRPr>
      </a:pPr>
      <a:endParaRPr lang="ar-SA"/>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17171326943529"/>
          <c:y val="3.4042359288422412E-2"/>
          <c:w val="0.75749052201808464"/>
          <c:h val="0.6270234040814191"/>
        </c:manualLayout>
      </c:layout>
      <c:barChart>
        <c:barDir val="col"/>
        <c:grouping val="clustered"/>
        <c:varyColors val="0"/>
        <c:ser>
          <c:idx val="0"/>
          <c:order val="0"/>
          <c:tx>
            <c:strRef>
              <c:f>Sheet1!$B$1</c:f>
              <c:strCache>
                <c:ptCount val="1"/>
                <c:pt idx="0">
                  <c:v>عدد الافعال الاجرامية المبلغ عنها</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Sheet1!$A$2:$A$12</c:f>
              <c:strCache>
                <c:ptCount val="11"/>
                <c:pt idx="0">
                  <c:v>  Hebron</c:v>
                </c:pt>
                <c:pt idx="1">
                  <c:v>  Jenin</c:v>
                </c:pt>
                <c:pt idx="2">
                  <c:v>  Nablus</c:v>
                </c:pt>
                <c:pt idx="3">
                  <c:v>  Bethlehem</c:v>
                </c:pt>
                <c:pt idx="4">
                  <c:v>  Ramallah &amp; Al Bireh</c:v>
                </c:pt>
                <c:pt idx="5">
                  <c:v>  Salfit</c:v>
                </c:pt>
                <c:pt idx="6">
                  <c:v>  Qalqiliya</c:v>
                </c:pt>
                <c:pt idx="7">
                  <c:v>  Jericho &amp; Al Aghwar</c:v>
                </c:pt>
                <c:pt idx="8">
                  <c:v>  Tulkarm</c:v>
                </c:pt>
                <c:pt idx="9">
                  <c:v>  Jerusalem*</c:v>
                </c:pt>
                <c:pt idx="10">
                  <c:v>  Tubas &amp; Northern Valleys</c:v>
                </c:pt>
              </c:strCache>
            </c:strRef>
          </c:cat>
          <c:val>
            <c:numRef>
              <c:f>Sheet1!$B$2:$B$12</c:f>
              <c:numCache>
                <c:formatCode>#,##0</c:formatCode>
                <c:ptCount val="11"/>
                <c:pt idx="0">
                  <c:v>5655</c:v>
                </c:pt>
                <c:pt idx="1">
                  <c:v>5634</c:v>
                </c:pt>
                <c:pt idx="2">
                  <c:v>3831</c:v>
                </c:pt>
                <c:pt idx="3">
                  <c:v>3595</c:v>
                </c:pt>
                <c:pt idx="4">
                  <c:v>3407</c:v>
                </c:pt>
                <c:pt idx="5">
                  <c:v>2333</c:v>
                </c:pt>
                <c:pt idx="6">
                  <c:v>2322</c:v>
                </c:pt>
                <c:pt idx="7">
                  <c:v>1678</c:v>
                </c:pt>
                <c:pt idx="8">
                  <c:v>1559</c:v>
                </c:pt>
                <c:pt idx="9">
                  <c:v>1164</c:v>
                </c:pt>
                <c:pt idx="10">
                  <c:v>1089</c:v>
                </c:pt>
              </c:numCache>
            </c:numRef>
          </c:val>
          <c:extLst>
            <c:ext xmlns:c16="http://schemas.microsoft.com/office/drawing/2014/chart" uri="{C3380CC4-5D6E-409C-BE32-E72D297353CC}">
              <c16:uniqueId val="{00000000-6181-4821-94A3-6F16ABF85621}"/>
            </c:ext>
          </c:extLst>
        </c:ser>
        <c:dLbls>
          <c:showLegendKey val="0"/>
          <c:showVal val="1"/>
          <c:showCatName val="0"/>
          <c:showSerName val="0"/>
          <c:showPercent val="0"/>
          <c:showBubbleSize val="0"/>
        </c:dLbls>
        <c:gapWidth val="150"/>
        <c:axId val="91354624"/>
        <c:axId val="91356160"/>
      </c:barChart>
      <c:catAx>
        <c:axId val="91354624"/>
        <c:scaling>
          <c:orientation val="minMax"/>
        </c:scaling>
        <c:delete val="0"/>
        <c:axPos val="b"/>
        <c:numFmt formatCode="General" sourceLinked="0"/>
        <c:majorTickMark val="out"/>
        <c:minorTickMark val="none"/>
        <c:tickLblPos val="nextTo"/>
        <c:txPr>
          <a:bodyPr rot="1080000" vert="horz"/>
          <a:lstStyle/>
          <a:p>
            <a:pPr>
              <a:defRPr sz="690" baseline="0">
                <a:latin typeface="Arial" pitchFamily="34" charset="0"/>
                <a:cs typeface="Arial" pitchFamily="34" charset="0"/>
              </a:defRPr>
            </a:pPr>
            <a:endParaRPr lang="ar-SA"/>
          </a:p>
        </c:txPr>
        <c:crossAx val="91356160"/>
        <c:crosses val="autoZero"/>
        <c:auto val="1"/>
        <c:lblAlgn val="ctr"/>
        <c:lblOffset val="100"/>
        <c:noMultiLvlLbl val="0"/>
      </c:catAx>
      <c:valAx>
        <c:axId val="91356160"/>
        <c:scaling>
          <c:orientation val="minMax"/>
        </c:scaling>
        <c:delete val="0"/>
        <c:axPos val="l"/>
        <c:numFmt formatCode="#,##0" sourceLinked="0"/>
        <c:majorTickMark val="out"/>
        <c:minorTickMark val="none"/>
        <c:tickLblPos val="nextTo"/>
        <c:txPr>
          <a:bodyPr/>
          <a:lstStyle/>
          <a:p>
            <a:pPr>
              <a:defRPr>
                <a:latin typeface="Arial" pitchFamily="34" charset="0"/>
                <a:cs typeface="Arial" pitchFamily="34" charset="0"/>
              </a:defRPr>
            </a:pPr>
            <a:endParaRPr lang="ar-SA"/>
          </a:p>
        </c:txPr>
        <c:crossAx val="91354624"/>
        <c:crosses val="autoZero"/>
        <c:crossBetween val="between"/>
      </c:valAx>
    </c:plotArea>
    <c:plotVisOnly val="1"/>
    <c:dispBlanksAs val="gap"/>
    <c:showDLblsOverMax val="0"/>
  </c:chart>
  <c:spPr>
    <a:noFill/>
    <a:ln>
      <a:noFill/>
    </a:ln>
  </c:spPr>
  <c:txPr>
    <a:bodyPr/>
    <a:lstStyle/>
    <a:p>
      <a:pPr>
        <a:defRPr sz="800"/>
      </a:pPr>
      <a:endParaRPr lang="ar-SA"/>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423662951222062"/>
          <c:y val="6.267806267806264E-2"/>
          <c:w val="0.83022213132449363"/>
          <c:h val="0.67147231596050494"/>
        </c:manualLayout>
      </c:layout>
      <c:barChart>
        <c:barDir val="col"/>
        <c:grouping val="clustered"/>
        <c:varyColors val="0"/>
        <c:ser>
          <c:idx val="0"/>
          <c:order val="0"/>
          <c:tx>
            <c:strRef>
              <c:f>Sheet1!$B$1</c:f>
              <c:strCache>
                <c:ptCount val="1"/>
                <c:pt idx="0">
                  <c:v>2019</c:v>
                </c:pt>
              </c:strCache>
            </c:strRef>
          </c:tx>
          <c:invertIfNegative val="0"/>
          <c:dLbls>
            <c:spPr>
              <a:noFill/>
              <a:ln>
                <a:noFill/>
              </a:ln>
              <a:effectLst/>
            </c:spPr>
            <c:txPr>
              <a:bodyPr/>
              <a:lstStyle/>
              <a:p>
                <a:pPr>
                  <a:defRPr>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Sheet1!$A$2:$A$6</c:f>
              <c:strCache>
                <c:ptCount val="5"/>
                <c:pt idx="0">
                  <c:v>  Nablus</c:v>
                </c:pt>
                <c:pt idx="1">
                  <c:v>  Ramallah</c:v>
                </c:pt>
                <c:pt idx="2">
                  <c:v>  Jenin</c:v>
                </c:pt>
                <c:pt idx="3">
                  <c:v>  Hebron</c:v>
                </c:pt>
                <c:pt idx="4">
                  <c:v> Jericho</c:v>
                </c:pt>
              </c:strCache>
            </c:strRef>
          </c:cat>
          <c:val>
            <c:numRef>
              <c:f>Sheet1!$B$2:$B$6</c:f>
              <c:numCache>
                <c:formatCode>General</c:formatCode>
                <c:ptCount val="5"/>
                <c:pt idx="0">
                  <c:v>780</c:v>
                </c:pt>
                <c:pt idx="1">
                  <c:v>612</c:v>
                </c:pt>
                <c:pt idx="2">
                  <c:v>569</c:v>
                </c:pt>
                <c:pt idx="3">
                  <c:v>451</c:v>
                </c:pt>
                <c:pt idx="4">
                  <c:v>137</c:v>
                </c:pt>
              </c:numCache>
            </c:numRef>
          </c:val>
          <c:extLst>
            <c:ext xmlns:c16="http://schemas.microsoft.com/office/drawing/2014/chart" uri="{C3380CC4-5D6E-409C-BE32-E72D297353CC}">
              <c16:uniqueId val="{00000000-F187-4D3C-8B5E-74E75F261E85}"/>
            </c:ext>
          </c:extLst>
        </c:ser>
        <c:dLbls>
          <c:showLegendKey val="0"/>
          <c:showVal val="1"/>
          <c:showCatName val="0"/>
          <c:showSerName val="0"/>
          <c:showPercent val="0"/>
          <c:showBubbleSize val="0"/>
        </c:dLbls>
        <c:gapWidth val="150"/>
        <c:axId val="49124096"/>
        <c:axId val="49126016"/>
      </c:barChart>
      <c:catAx>
        <c:axId val="49124096"/>
        <c:scaling>
          <c:orientation val="minMax"/>
        </c:scaling>
        <c:delete val="0"/>
        <c:axPos val="b"/>
        <c:title>
          <c:tx>
            <c:rich>
              <a:bodyPr/>
              <a:lstStyle/>
              <a:p>
                <a:pPr>
                  <a:defRPr/>
                </a:pPr>
                <a:r>
                  <a:rPr lang="en-US"/>
                  <a:t>Station</a:t>
                </a:r>
              </a:p>
            </c:rich>
          </c:tx>
          <c:layout>
            <c:manualLayout>
              <c:xMode val="edge"/>
              <c:yMode val="edge"/>
              <c:x val="0.46554521593891685"/>
              <c:y val="0.8704517749234929"/>
            </c:manualLayout>
          </c:layout>
          <c:overlay val="0"/>
        </c:title>
        <c:numFmt formatCode="General" sourceLinked="1"/>
        <c:majorTickMark val="out"/>
        <c:minorTickMark val="none"/>
        <c:tickLblPos val="nextTo"/>
        <c:txPr>
          <a:bodyPr rot="0"/>
          <a:lstStyle/>
          <a:p>
            <a:pPr>
              <a:defRPr>
                <a:latin typeface="Arial" pitchFamily="34" charset="0"/>
                <a:cs typeface="Arial" pitchFamily="34" charset="0"/>
              </a:defRPr>
            </a:pPr>
            <a:endParaRPr lang="ar-SA"/>
          </a:p>
        </c:txPr>
        <c:crossAx val="49126016"/>
        <c:crosses val="autoZero"/>
        <c:auto val="1"/>
        <c:lblAlgn val="ctr"/>
        <c:lblOffset val="100"/>
        <c:tickLblSkip val="1"/>
        <c:noMultiLvlLbl val="0"/>
      </c:catAx>
      <c:valAx>
        <c:axId val="49126016"/>
        <c:scaling>
          <c:orientation val="minMax"/>
          <c:max val="1000"/>
          <c:min val="0"/>
        </c:scaling>
        <c:delete val="0"/>
        <c:axPos val="l"/>
        <c:title>
          <c:tx>
            <c:rich>
              <a:bodyPr rot="-5400000" vert="horz"/>
              <a:lstStyle/>
              <a:p>
                <a:pPr>
                  <a:defRPr/>
                </a:pPr>
                <a:r>
                  <a:rPr lang="en-US" sz="799" b="1" i="0" u="none" strike="noStrike" baseline="0"/>
                  <a:t>Annual Rainfall Quantity (mm) </a:t>
                </a:r>
                <a:endParaRPr lang="en-US"/>
              </a:p>
            </c:rich>
          </c:tx>
          <c:layout>
            <c:manualLayout>
              <c:xMode val="edge"/>
              <c:yMode val="edge"/>
              <c:x val="3.3563986319891831E-4"/>
              <c:y val="9.2251549951605005E-2"/>
            </c:manualLayout>
          </c:layout>
          <c:overlay val="0"/>
        </c:title>
        <c:numFmt formatCode="General" sourceLinked="1"/>
        <c:majorTickMark val="out"/>
        <c:minorTickMark val="none"/>
        <c:tickLblPos val="nextTo"/>
        <c:txPr>
          <a:bodyPr/>
          <a:lstStyle/>
          <a:p>
            <a:pPr>
              <a:defRPr sz="700">
                <a:latin typeface="Arial" pitchFamily="34" charset="0"/>
                <a:cs typeface="Arial" pitchFamily="34" charset="0"/>
              </a:defRPr>
            </a:pPr>
            <a:endParaRPr lang="ar-SA"/>
          </a:p>
        </c:txPr>
        <c:crossAx val="49124096"/>
        <c:crosses val="autoZero"/>
        <c:crossBetween val="between"/>
        <c:majorUnit val="200"/>
      </c:valAx>
    </c:plotArea>
    <c:plotVisOnly val="1"/>
    <c:dispBlanksAs val="zero"/>
    <c:showDLblsOverMax val="0"/>
  </c:chart>
  <c:spPr>
    <a:noFill/>
    <a:ln>
      <a:noFill/>
    </a:ln>
  </c:spPr>
  <c:txPr>
    <a:bodyPr/>
    <a:lstStyle/>
    <a:p>
      <a:pPr>
        <a:defRPr sz="799">
          <a:latin typeface="Arial (Body)"/>
        </a:defRPr>
      </a:pPr>
      <a:endParaRPr lang="ar-SA"/>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3434481078003041"/>
          <c:y val="5.7762824291669186E-2"/>
          <c:w val="0.84599814497539483"/>
          <c:h val="0.63808007288663782"/>
        </c:manualLayout>
      </c:layout>
      <c:barChart>
        <c:barDir val="col"/>
        <c:grouping val="clustered"/>
        <c:varyColors val="0"/>
        <c:ser>
          <c:idx val="0"/>
          <c:order val="0"/>
          <c:tx>
            <c:strRef>
              <c:f>Sheet1!$B$1</c:f>
              <c:strCache>
                <c:ptCount val="1"/>
                <c:pt idx="0">
                  <c:v>2017</c:v>
                </c:pt>
              </c:strCache>
            </c:strRef>
          </c:tx>
          <c:invertIfNegative val="0"/>
          <c:dLbls>
            <c:dLbl>
              <c:idx val="0"/>
              <c:layout/>
              <c:tx>
                <c:rich>
                  <a:bodyPr/>
                  <a:lstStyle/>
                  <a:p>
                    <a:r>
                      <a:rPr lang="en-US"/>
                      <a:t>15.4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7A6-4860-A7D7-E58A03205886}"/>
                </c:ext>
              </c:extLst>
            </c:dLbl>
            <c:dLbl>
              <c:idx val="1"/>
              <c:layout>
                <c:manualLayout>
                  <c:x val="3.154574132492218E-3"/>
                  <c:y val="5.0359712230215833E-2"/>
                </c:manualLayout>
              </c:layout>
              <c:tx>
                <c:rich>
                  <a:bodyPr/>
                  <a:lstStyle/>
                  <a:p>
                    <a:r>
                      <a:rPr lang="en-US" sz="800">
                        <a:latin typeface="Arial" pitchFamily="34" charset="0"/>
                        <a:cs typeface="Arial" pitchFamily="34" charset="0"/>
                      </a:rPr>
                      <a:t>12.5</a:t>
                    </a:r>
                    <a:endParaRPr lang="en-US"/>
                  </a:p>
                  <a:p>
                    <a:endParaRPr 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F7A6-4860-A7D7-E58A03205886}"/>
                </c:ext>
              </c:extLst>
            </c:dLbl>
            <c:dLbl>
              <c:idx val="2"/>
              <c:layout/>
              <c:tx>
                <c:rich>
                  <a:bodyPr/>
                  <a:lstStyle/>
                  <a:p>
                    <a:r>
                      <a:rPr lang="en-US"/>
                      <a:t>2.9</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F7A6-4860-A7D7-E58A03205886}"/>
                </c:ext>
              </c:extLst>
            </c:dLbl>
            <c:spPr>
              <a:noFill/>
              <a:ln>
                <a:noFill/>
              </a:ln>
              <a:effectLst/>
            </c:spPr>
            <c:txPr>
              <a:bodyPr/>
              <a:lstStyle/>
              <a:p>
                <a:pPr>
                  <a:defRPr sz="8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Palestine</c:v>
                </c:pt>
                <c:pt idx="1">
                  <c:v>West Bank</c:v>
                </c:pt>
                <c:pt idx="2">
                  <c:v>Gaza Strip</c:v>
                </c:pt>
              </c:strCache>
            </c:strRef>
          </c:cat>
          <c:val>
            <c:numRef>
              <c:f>Sheet1!$B$2:$B$4</c:f>
              <c:numCache>
                <c:formatCode>#,##0.0</c:formatCode>
                <c:ptCount val="3"/>
                <c:pt idx="0" formatCode="0.0">
                  <c:v>13.3</c:v>
                </c:pt>
                <c:pt idx="1">
                  <c:v>9.9</c:v>
                </c:pt>
                <c:pt idx="2" formatCode="0.0">
                  <c:v>3.4</c:v>
                </c:pt>
              </c:numCache>
            </c:numRef>
          </c:val>
          <c:extLst>
            <c:ext xmlns:c16="http://schemas.microsoft.com/office/drawing/2014/chart" uri="{C3380CC4-5D6E-409C-BE32-E72D297353CC}">
              <c16:uniqueId val="{00000003-F7A6-4860-A7D7-E58A03205886}"/>
            </c:ext>
          </c:extLst>
        </c:ser>
        <c:ser>
          <c:idx val="1"/>
          <c:order val="1"/>
          <c:tx>
            <c:strRef>
              <c:f>Sheet1!$C$1</c:f>
              <c:strCache>
                <c:ptCount val="1"/>
                <c:pt idx="0">
                  <c:v>2018</c:v>
                </c:pt>
              </c:strCache>
            </c:strRef>
          </c:tx>
          <c:invertIfNegative val="0"/>
          <c:dLbls>
            <c:dLbl>
              <c:idx val="0"/>
              <c:layout/>
              <c:tx>
                <c:rich>
                  <a:bodyPr/>
                  <a:lstStyle/>
                  <a:p>
                    <a:r>
                      <a:rPr lang="en-US"/>
                      <a:t>15.6</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F7A6-4860-A7D7-E58A03205886}"/>
                </c:ext>
              </c:extLst>
            </c:dLbl>
            <c:dLbl>
              <c:idx val="1"/>
              <c:layout/>
              <c:tx>
                <c:rich>
                  <a:bodyPr/>
                  <a:lstStyle/>
                  <a:p>
                    <a:r>
                      <a:rPr lang="en-US"/>
                      <a:t>12.8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F7A6-4860-A7D7-E58A03205886}"/>
                </c:ext>
              </c:extLst>
            </c:dLbl>
            <c:dLbl>
              <c:idx val="2"/>
              <c:layout/>
              <c:tx>
                <c:rich>
                  <a:bodyPr/>
                  <a:lstStyle/>
                  <a:p>
                    <a:r>
                      <a:rPr lang="en-US"/>
                      <a:t>2.8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F7A6-4860-A7D7-E58A03205886}"/>
                </c:ext>
              </c:extLst>
            </c:dLbl>
            <c:spPr>
              <a:noFill/>
              <a:ln>
                <a:noFill/>
              </a:ln>
              <a:effectLst/>
            </c:spPr>
            <c:txPr>
              <a:bodyPr/>
              <a:lstStyle/>
              <a:p>
                <a:pPr>
                  <a:defRPr sz="8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Palestine</c:v>
                </c:pt>
                <c:pt idx="1">
                  <c:v>West Bank</c:v>
                </c:pt>
                <c:pt idx="2">
                  <c:v>Gaza Strip</c:v>
                </c:pt>
              </c:strCache>
            </c:strRef>
          </c:cat>
          <c:val>
            <c:numRef>
              <c:f>Sheet1!$C$2:$C$4</c:f>
              <c:numCache>
                <c:formatCode>#,##0.0</c:formatCode>
                <c:ptCount val="3"/>
                <c:pt idx="0" formatCode="0.0">
                  <c:v>13.7</c:v>
                </c:pt>
                <c:pt idx="1">
                  <c:v>10.7</c:v>
                </c:pt>
                <c:pt idx="2" formatCode="0.0">
                  <c:v>3</c:v>
                </c:pt>
              </c:numCache>
            </c:numRef>
          </c:val>
          <c:extLst>
            <c:ext xmlns:c16="http://schemas.microsoft.com/office/drawing/2014/chart" uri="{C3380CC4-5D6E-409C-BE32-E72D297353CC}">
              <c16:uniqueId val="{00000007-F7A6-4860-A7D7-E58A03205886}"/>
            </c:ext>
          </c:extLst>
        </c:ser>
        <c:ser>
          <c:idx val="2"/>
          <c:order val="2"/>
          <c:tx>
            <c:strRef>
              <c:f>Sheet1!$D$1</c:f>
              <c:strCache>
                <c:ptCount val="1"/>
                <c:pt idx="0">
                  <c:v>2019</c:v>
                </c:pt>
              </c:strCache>
            </c:strRef>
          </c:tx>
          <c:invertIfNegative val="0"/>
          <c:dLbls>
            <c:dLbl>
              <c:idx val="0"/>
              <c:layout/>
              <c:tx>
                <c:rich>
                  <a:bodyPr/>
                  <a:lstStyle/>
                  <a:p>
                    <a:r>
                      <a:rPr lang="en-US"/>
                      <a:t>15.8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F7A6-4860-A7D7-E58A03205886}"/>
                </c:ext>
              </c:extLst>
            </c:dLbl>
            <c:dLbl>
              <c:idx val="1"/>
              <c:layout/>
              <c:tx>
                <c:rich>
                  <a:bodyPr/>
                  <a:lstStyle/>
                  <a:p>
                    <a:r>
                      <a:rPr lang="en-US"/>
                      <a:t>13.0</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F7A6-4860-A7D7-E58A03205886}"/>
                </c:ext>
              </c:extLst>
            </c:dLbl>
            <c:spPr>
              <a:noFill/>
              <a:ln>
                <a:noFill/>
              </a:ln>
              <a:effectLst/>
            </c:spPr>
            <c:txPr>
              <a:bodyPr/>
              <a:lstStyle/>
              <a:p>
                <a:pPr>
                  <a:defRPr sz="800">
                    <a:latin typeface="Arial" pitchFamily="34" charset="0"/>
                    <a:cs typeface="Arial"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Palestine</c:v>
                </c:pt>
                <c:pt idx="1">
                  <c:v>West Bank</c:v>
                </c:pt>
                <c:pt idx="2">
                  <c:v>Gaza Strip</c:v>
                </c:pt>
              </c:strCache>
            </c:strRef>
          </c:cat>
          <c:val>
            <c:numRef>
              <c:f>Sheet1!$D$2:$D$4</c:f>
              <c:numCache>
                <c:formatCode>#,##0.0</c:formatCode>
                <c:ptCount val="3"/>
                <c:pt idx="0" formatCode="0.0">
                  <c:v>13.8</c:v>
                </c:pt>
                <c:pt idx="1">
                  <c:v>11.04</c:v>
                </c:pt>
                <c:pt idx="2" formatCode="0.0">
                  <c:v>2.8</c:v>
                </c:pt>
              </c:numCache>
            </c:numRef>
          </c:val>
          <c:extLst>
            <c:ext xmlns:c16="http://schemas.microsoft.com/office/drawing/2014/chart" uri="{C3380CC4-5D6E-409C-BE32-E72D297353CC}">
              <c16:uniqueId val="{0000000A-F7A6-4860-A7D7-E58A03205886}"/>
            </c:ext>
          </c:extLst>
        </c:ser>
        <c:dLbls>
          <c:showLegendKey val="0"/>
          <c:showVal val="1"/>
          <c:showCatName val="0"/>
          <c:showSerName val="0"/>
          <c:showPercent val="0"/>
          <c:showBubbleSize val="0"/>
        </c:dLbls>
        <c:gapWidth val="150"/>
        <c:axId val="105814656"/>
        <c:axId val="117641984"/>
      </c:barChart>
      <c:catAx>
        <c:axId val="105814656"/>
        <c:scaling>
          <c:orientation val="minMax"/>
        </c:scaling>
        <c:delete val="0"/>
        <c:axPos val="b"/>
        <c:title>
          <c:tx>
            <c:rich>
              <a:bodyPr/>
              <a:lstStyle/>
              <a:p>
                <a:pPr rtl="1">
                  <a:defRPr/>
                </a:pPr>
                <a:r>
                  <a:rPr lang="en-US" sz="800">
                    <a:latin typeface="Arial" pitchFamily="34" charset="0"/>
                    <a:cs typeface="Arial" pitchFamily="34" charset="0"/>
                  </a:rPr>
                  <a:t>Region</a:t>
                </a:r>
              </a:p>
            </c:rich>
          </c:tx>
          <c:layout>
            <c:manualLayout>
              <c:xMode val="edge"/>
              <c:yMode val="edge"/>
              <c:x val="0.45766065086483232"/>
              <c:y val="0.85003036515290409"/>
            </c:manualLayout>
          </c:layout>
          <c:overlay val="0"/>
        </c:title>
        <c:numFmt formatCode="General" sourceLinked="0"/>
        <c:majorTickMark val="out"/>
        <c:minorTickMark val="none"/>
        <c:tickLblPos val="nextTo"/>
        <c:txPr>
          <a:bodyPr/>
          <a:lstStyle/>
          <a:p>
            <a:pPr>
              <a:defRPr sz="800">
                <a:latin typeface="Arial" pitchFamily="34" charset="0"/>
                <a:cs typeface="Arial" pitchFamily="34" charset="0"/>
              </a:defRPr>
            </a:pPr>
            <a:endParaRPr lang="ar-SA"/>
          </a:p>
        </c:txPr>
        <c:crossAx val="117641984"/>
        <c:crosses val="autoZero"/>
        <c:auto val="1"/>
        <c:lblAlgn val="ctr"/>
        <c:lblOffset val="100"/>
        <c:noMultiLvlLbl val="0"/>
      </c:catAx>
      <c:valAx>
        <c:axId val="117641984"/>
        <c:scaling>
          <c:orientation val="minMax"/>
          <c:max val="16"/>
          <c:min val="0"/>
        </c:scaling>
        <c:delete val="0"/>
        <c:axPos val="l"/>
        <c:title>
          <c:tx>
            <c:rich>
              <a:bodyPr rot="-5400000" vert="horz"/>
              <a:lstStyle/>
              <a:p>
                <a:pPr rtl="1">
                  <a:defRPr/>
                </a:pPr>
                <a:r>
                  <a:rPr lang="en-US"/>
                  <a:t>Value</a:t>
                </a:r>
              </a:p>
            </c:rich>
          </c:tx>
          <c:layout/>
          <c:overlay val="0"/>
        </c:title>
        <c:numFmt formatCode="0" sourceLinked="0"/>
        <c:majorTickMark val="out"/>
        <c:minorTickMark val="none"/>
        <c:tickLblPos val="nextTo"/>
        <c:crossAx val="105814656"/>
        <c:crosses val="autoZero"/>
        <c:crossBetween val="between"/>
        <c:majorUnit val="4"/>
      </c:valAx>
    </c:plotArea>
    <c:legend>
      <c:legendPos val="r"/>
      <c:layout>
        <c:manualLayout>
          <c:xMode val="edge"/>
          <c:yMode val="edge"/>
          <c:x val="0.86033839040988735"/>
          <c:y val="4.9266139291674178E-2"/>
          <c:w val="0.11314083515893306"/>
          <c:h val="0.2633873688013893"/>
        </c:manualLayout>
      </c:layout>
      <c:overlay val="0"/>
      <c:txPr>
        <a:bodyPr/>
        <a:lstStyle/>
        <a:p>
          <a:pPr rtl="0">
            <a:defRPr/>
          </a:pPr>
          <a:endParaRPr lang="ar-SA"/>
        </a:p>
      </c:txPr>
    </c:legend>
    <c:plotVisOnly val="1"/>
    <c:dispBlanksAs val="gap"/>
    <c:showDLblsOverMax val="0"/>
  </c:chart>
  <c:spPr>
    <a:noFill/>
    <a:ln w="3175">
      <a:noFill/>
      <a:round/>
    </a:ln>
  </c:spPr>
  <c:txPr>
    <a:bodyPr/>
    <a:lstStyle/>
    <a:p>
      <a:pPr>
        <a:defRPr sz="900">
          <a:cs typeface="+mn-cs"/>
        </a:defRPr>
      </a:pPr>
      <a:endParaRPr lang="ar-SA"/>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8225419664268591"/>
          <c:y val="4.6913817198936933E-2"/>
          <c:w val="0.79616306954436356"/>
          <c:h val="0.75105768674677365"/>
        </c:manualLayout>
      </c:layout>
      <c:barChart>
        <c:barDir val="col"/>
        <c:grouping val="clustered"/>
        <c:varyColors val="0"/>
        <c:ser>
          <c:idx val="1"/>
          <c:order val="0"/>
          <c:tx>
            <c:strRef>
              <c:f>Sheet1!$A$2</c:f>
              <c:strCache>
                <c:ptCount val="1"/>
                <c:pt idx="0">
                  <c:v>2017</c:v>
                </c:pt>
              </c:strCache>
            </c:strRef>
          </c:tx>
          <c:spPr>
            <a:solidFill>
              <a:srgbClr val="993366"/>
            </a:solidFill>
            <a:ln w="12527">
              <a:solidFill>
                <a:srgbClr val="000000"/>
              </a:solid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Sheet1!$B$1:$C$1</c:f>
              <c:strCache>
                <c:ptCount val="2"/>
                <c:pt idx="0">
                  <c:v>No. of Enterprises </c:v>
                </c:pt>
                <c:pt idx="1">
                  <c:v>No. of Employed Persons</c:v>
                </c:pt>
              </c:strCache>
            </c:strRef>
          </c:cat>
          <c:val>
            <c:numRef>
              <c:f>Sheet1!$B$2:$C$2</c:f>
              <c:numCache>
                <c:formatCode>_-* #,##0_-;_-* #,##0\-;_-* "-"??_-;_-@_-</c:formatCode>
                <c:ptCount val="2"/>
                <c:pt idx="0" formatCode="#,##0">
                  <c:v>19118</c:v>
                </c:pt>
                <c:pt idx="1">
                  <c:v>95787</c:v>
                </c:pt>
              </c:numCache>
            </c:numRef>
          </c:val>
          <c:extLst>
            <c:ext xmlns:c16="http://schemas.microsoft.com/office/drawing/2014/chart" uri="{C3380CC4-5D6E-409C-BE32-E72D297353CC}">
              <c16:uniqueId val="{00000000-8C66-4A8A-8BBB-B3DA8633EE7D}"/>
            </c:ext>
          </c:extLst>
        </c:ser>
        <c:ser>
          <c:idx val="2"/>
          <c:order val="1"/>
          <c:tx>
            <c:strRef>
              <c:f>Sheet1!$A$3</c:f>
              <c:strCache>
                <c:ptCount val="1"/>
                <c:pt idx="0">
                  <c:v>2018</c:v>
                </c:pt>
              </c:strCache>
            </c:strRef>
          </c:tx>
          <c:spPr>
            <a:solidFill>
              <a:srgbClr val="FFFFCC"/>
            </a:solidFill>
            <a:ln w="12527">
              <a:solidFill>
                <a:srgbClr val="000000"/>
              </a:solidFill>
              <a:prstDash val="solid"/>
            </a:ln>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Sheet1!$B$1:$C$1</c:f>
              <c:strCache>
                <c:ptCount val="2"/>
                <c:pt idx="0">
                  <c:v>No. of Enterprises </c:v>
                </c:pt>
                <c:pt idx="1">
                  <c:v>No. of Employed Persons</c:v>
                </c:pt>
              </c:strCache>
            </c:strRef>
          </c:cat>
          <c:val>
            <c:numRef>
              <c:f>Sheet1!$B$3:$C$3</c:f>
              <c:numCache>
                <c:formatCode>_-* #,##0_-;_-* #,##0\-;_-* "-"??_-;_-@_-</c:formatCode>
                <c:ptCount val="2"/>
                <c:pt idx="0">
                  <c:v>20104</c:v>
                </c:pt>
                <c:pt idx="1">
                  <c:v>112835</c:v>
                </c:pt>
              </c:numCache>
            </c:numRef>
          </c:val>
          <c:extLst>
            <c:ext xmlns:c16="http://schemas.microsoft.com/office/drawing/2014/chart" uri="{C3380CC4-5D6E-409C-BE32-E72D297353CC}">
              <c16:uniqueId val="{00000001-8C66-4A8A-8BBB-B3DA8633EE7D}"/>
            </c:ext>
          </c:extLst>
        </c:ser>
        <c:ser>
          <c:idx val="0"/>
          <c:order val="2"/>
          <c:tx>
            <c:strRef>
              <c:f>Sheet1!$A$4</c:f>
              <c:strCache>
                <c:ptCount val="1"/>
                <c:pt idx="0">
                  <c:v>2019</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Sheet1!$B$1:$C$1</c:f>
              <c:strCache>
                <c:ptCount val="2"/>
                <c:pt idx="0">
                  <c:v>No. of Enterprises </c:v>
                </c:pt>
                <c:pt idx="1">
                  <c:v>No. of Employed Persons</c:v>
                </c:pt>
              </c:strCache>
            </c:strRef>
          </c:cat>
          <c:val>
            <c:numRef>
              <c:f>Sheet1!$B$4:$C$4</c:f>
              <c:numCache>
                <c:formatCode>#,##0_ ;\-#,##0\ </c:formatCode>
                <c:ptCount val="2"/>
                <c:pt idx="0">
                  <c:v>20710</c:v>
                </c:pt>
                <c:pt idx="1">
                  <c:v>121763</c:v>
                </c:pt>
              </c:numCache>
            </c:numRef>
          </c:val>
          <c:extLst>
            <c:ext xmlns:c16="http://schemas.microsoft.com/office/drawing/2014/chart" uri="{C3380CC4-5D6E-409C-BE32-E72D297353CC}">
              <c16:uniqueId val="{00000002-8C66-4A8A-8BBB-B3DA8633EE7D}"/>
            </c:ext>
          </c:extLst>
        </c:ser>
        <c:dLbls>
          <c:showLegendKey val="0"/>
          <c:showVal val="1"/>
          <c:showCatName val="0"/>
          <c:showSerName val="0"/>
          <c:showPercent val="0"/>
          <c:showBubbleSize val="0"/>
        </c:dLbls>
        <c:gapWidth val="150"/>
        <c:axId val="97269632"/>
        <c:axId val="97271168"/>
      </c:barChart>
      <c:catAx>
        <c:axId val="97269632"/>
        <c:scaling>
          <c:orientation val="minMax"/>
        </c:scaling>
        <c:delete val="0"/>
        <c:axPos val="b"/>
        <c:numFmt formatCode="General" sourceLinked="1"/>
        <c:majorTickMark val="out"/>
        <c:minorTickMark val="none"/>
        <c:tickLblPos val="nextTo"/>
        <c:spPr>
          <a:ln w="3127">
            <a:solidFill>
              <a:srgbClr val="000000"/>
            </a:solidFill>
            <a:prstDash val="solid"/>
          </a:ln>
        </c:spPr>
        <c:txPr>
          <a:bodyPr rot="0" vert="horz"/>
          <a:lstStyle/>
          <a:p>
            <a:pPr>
              <a:defRPr/>
            </a:pPr>
            <a:endParaRPr lang="ar-SA"/>
          </a:p>
        </c:txPr>
        <c:crossAx val="97271168"/>
        <c:crosses val="autoZero"/>
        <c:auto val="1"/>
        <c:lblAlgn val="ctr"/>
        <c:lblOffset val="100"/>
        <c:tickLblSkip val="1"/>
        <c:tickMarkSkip val="1"/>
        <c:noMultiLvlLbl val="0"/>
      </c:catAx>
      <c:valAx>
        <c:axId val="97271168"/>
        <c:scaling>
          <c:orientation val="minMax"/>
        </c:scaling>
        <c:delete val="0"/>
        <c:axPos val="l"/>
        <c:title>
          <c:tx>
            <c:rich>
              <a:bodyPr/>
              <a:lstStyle/>
              <a:p>
                <a:pPr>
                  <a:defRPr b="1"/>
                </a:pPr>
                <a:r>
                  <a:rPr lang="en-GB" b="1"/>
                  <a:t>Number</a:t>
                </a:r>
              </a:p>
            </c:rich>
          </c:tx>
          <c:layout>
            <c:manualLayout>
              <c:xMode val="edge"/>
              <c:yMode val="edge"/>
              <c:x val="2.6379038386627283E-2"/>
              <c:y val="0.25974024214715075"/>
            </c:manualLayout>
          </c:layout>
          <c:overlay val="0"/>
          <c:spPr>
            <a:noFill/>
            <a:ln w="25045">
              <a:noFill/>
            </a:ln>
          </c:spPr>
        </c:title>
        <c:numFmt formatCode="#,##0" sourceLinked="1"/>
        <c:majorTickMark val="out"/>
        <c:minorTickMark val="none"/>
        <c:tickLblPos val="nextTo"/>
        <c:spPr>
          <a:ln w="3127">
            <a:solidFill>
              <a:srgbClr val="000000"/>
            </a:solidFill>
            <a:prstDash val="solid"/>
          </a:ln>
        </c:spPr>
        <c:txPr>
          <a:bodyPr rot="0" vert="horz"/>
          <a:lstStyle/>
          <a:p>
            <a:pPr>
              <a:defRPr/>
            </a:pPr>
            <a:endParaRPr lang="ar-SA"/>
          </a:p>
        </c:txPr>
        <c:crossAx val="97269632"/>
        <c:crosses val="autoZero"/>
        <c:crossBetween val="between"/>
      </c:valAx>
      <c:spPr>
        <a:noFill/>
        <a:ln w="25395">
          <a:noFill/>
        </a:ln>
      </c:spPr>
    </c:plotArea>
    <c:legend>
      <c:legendPos val="t"/>
      <c:layout>
        <c:manualLayout>
          <c:xMode val="edge"/>
          <c:yMode val="edge"/>
          <c:x val="0.30012708265483468"/>
          <c:y val="0.10019337905342479"/>
          <c:w val="0.26746566417915968"/>
          <c:h val="0.11336419311222461"/>
        </c:manualLayout>
      </c:layout>
      <c:overlay val="0"/>
      <c:spPr>
        <a:noFill/>
        <a:ln w="3127">
          <a:solidFill>
            <a:srgbClr val="000000"/>
          </a:solidFill>
          <a:prstDash val="solid"/>
        </a:ln>
      </c:spPr>
    </c:legend>
    <c:plotVisOnly val="1"/>
    <c:dispBlanksAs val="gap"/>
    <c:showDLblsOverMax val="0"/>
  </c:chart>
  <c:spPr>
    <a:noFill/>
    <a:ln>
      <a:noFill/>
    </a:ln>
  </c:spPr>
  <c:txPr>
    <a:bodyPr/>
    <a:lstStyle/>
    <a:p>
      <a:pPr>
        <a:defRPr sz="700" b="0" i="0" u="none" strike="noStrike" baseline="0">
          <a:solidFill>
            <a:srgbClr val="000000"/>
          </a:solidFill>
          <a:latin typeface="Arial"/>
          <a:ea typeface="Arial"/>
          <a:cs typeface="Arial"/>
        </a:defRPr>
      </a:pPr>
      <a:endParaRPr lang="ar-SA"/>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40529549191018"/>
          <c:y val="0.15241590736117333"/>
          <c:w val="0.81321920937357228"/>
          <c:h val="0.7058347381374076"/>
        </c:manualLayout>
      </c:layout>
      <c:areaChart>
        <c:grouping val="standard"/>
        <c:varyColors val="0"/>
        <c:ser>
          <c:idx val="0"/>
          <c:order val="0"/>
          <c:tx>
            <c:strRef>
              <c:f>Sheet1!$A$2</c:f>
              <c:strCache>
                <c:ptCount val="1"/>
                <c:pt idx="0">
                  <c:v>Imports in Goods</c:v>
                </c:pt>
              </c:strCache>
            </c:strRef>
          </c:tx>
          <c:spPr>
            <a:solidFill>
              <a:srgbClr val="4BACC6">
                <a:lumMod val="20000"/>
                <a:lumOff val="80000"/>
                <a:alpha val="70000"/>
              </a:srgbClr>
            </a:solidFill>
            <a:ln w="12700">
              <a:solidFill>
                <a:srgbClr val="00CCFF"/>
              </a:solidFill>
              <a:prstDash val="solid"/>
            </a:ln>
          </c:spPr>
          <c:dLbls>
            <c:dLbl>
              <c:idx val="0"/>
              <c:delete val="1"/>
              <c:extLst>
                <c:ext xmlns:c15="http://schemas.microsoft.com/office/drawing/2012/chart" uri="{CE6537A1-D6FC-4f65-9D91-7224C49458BB}"/>
                <c:ext xmlns:c16="http://schemas.microsoft.com/office/drawing/2014/chart" uri="{C3380CC4-5D6E-409C-BE32-E72D297353CC}">
                  <c16:uniqueId val="{00000000-4C4E-4C05-ADFA-7743256AC654}"/>
                </c:ext>
              </c:extLst>
            </c:dLbl>
            <c:dLbl>
              <c:idx val="1"/>
              <c:delete val="1"/>
              <c:extLst>
                <c:ext xmlns:c15="http://schemas.microsoft.com/office/drawing/2012/chart" uri="{CE6537A1-D6FC-4f65-9D91-7224C49458BB}"/>
                <c:ext xmlns:c16="http://schemas.microsoft.com/office/drawing/2014/chart" uri="{C3380CC4-5D6E-409C-BE32-E72D297353CC}">
                  <c16:uniqueId val="{00000001-4C4E-4C05-ADFA-7743256AC654}"/>
                </c:ext>
              </c:extLst>
            </c:dLbl>
            <c:dLbl>
              <c:idx val="2"/>
              <c:delete val="1"/>
              <c:extLst>
                <c:ext xmlns:c15="http://schemas.microsoft.com/office/drawing/2012/chart" uri="{CE6537A1-D6FC-4f65-9D91-7224C49458BB}"/>
                <c:ext xmlns:c16="http://schemas.microsoft.com/office/drawing/2014/chart" uri="{C3380CC4-5D6E-409C-BE32-E72D297353CC}">
                  <c16:uniqueId val="{00000002-4C4E-4C05-ADFA-7743256AC654}"/>
                </c:ext>
              </c:extLst>
            </c:dLbl>
            <c:dLbl>
              <c:idx val="3"/>
              <c:delete val="1"/>
              <c:extLst>
                <c:ext xmlns:c15="http://schemas.microsoft.com/office/drawing/2012/chart" uri="{CE6537A1-D6FC-4f65-9D91-7224C49458BB}"/>
                <c:ext xmlns:c16="http://schemas.microsoft.com/office/drawing/2014/chart" uri="{C3380CC4-5D6E-409C-BE32-E72D297353CC}">
                  <c16:uniqueId val="{00000003-4C4E-4C05-ADFA-7743256AC654}"/>
                </c:ext>
              </c:extLst>
            </c:dLbl>
            <c:dLbl>
              <c:idx val="4"/>
              <c:delete val="1"/>
              <c:extLst>
                <c:ext xmlns:c15="http://schemas.microsoft.com/office/drawing/2012/chart" uri="{CE6537A1-D6FC-4f65-9D91-7224C49458BB}"/>
                <c:ext xmlns:c16="http://schemas.microsoft.com/office/drawing/2014/chart" uri="{C3380CC4-5D6E-409C-BE32-E72D297353CC}">
                  <c16:uniqueId val="{00000004-4C4E-4C05-ADFA-7743256AC654}"/>
                </c:ext>
              </c:extLst>
            </c:dLbl>
            <c:dLbl>
              <c:idx val="5"/>
              <c:delete val="1"/>
              <c:extLst>
                <c:ext xmlns:c15="http://schemas.microsoft.com/office/drawing/2012/chart" uri="{CE6537A1-D6FC-4f65-9D91-7224C49458BB}"/>
                <c:ext xmlns:c16="http://schemas.microsoft.com/office/drawing/2014/chart" uri="{C3380CC4-5D6E-409C-BE32-E72D297353CC}">
                  <c16:uniqueId val="{00000005-4C4E-4C05-ADFA-7743256AC654}"/>
                </c:ext>
              </c:extLst>
            </c:dLbl>
            <c:dLbl>
              <c:idx val="6"/>
              <c:delete val="1"/>
              <c:extLst>
                <c:ext xmlns:c15="http://schemas.microsoft.com/office/drawing/2012/chart" uri="{CE6537A1-D6FC-4f65-9D91-7224C49458BB}"/>
                <c:ext xmlns:c16="http://schemas.microsoft.com/office/drawing/2014/chart" uri="{C3380CC4-5D6E-409C-BE32-E72D297353CC}">
                  <c16:uniqueId val="{00000006-4C4E-4C05-ADFA-7743256AC654}"/>
                </c:ext>
              </c:extLst>
            </c:dLbl>
            <c:dLbl>
              <c:idx val="7"/>
              <c:delete val="1"/>
              <c:extLst>
                <c:ext xmlns:c15="http://schemas.microsoft.com/office/drawing/2012/chart" uri="{CE6537A1-D6FC-4f65-9D91-7224C49458BB}"/>
                <c:ext xmlns:c16="http://schemas.microsoft.com/office/drawing/2014/chart" uri="{C3380CC4-5D6E-409C-BE32-E72D297353CC}">
                  <c16:uniqueId val="{00000007-4C4E-4C05-ADFA-7743256AC654}"/>
                </c:ext>
              </c:extLst>
            </c:dLbl>
            <c:dLbl>
              <c:idx val="8"/>
              <c:delete val="1"/>
              <c:extLst>
                <c:ext xmlns:c15="http://schemas.microsoft.com/office/drawing/2012/chart" uri="{CE6537A1-D6FC-4f65-9D91-7224C49458BB}"/>
                <c:ext xmlns:c16="http://schemas.microsoft.com/office/drawing/2014/chart" uri="{C3380CC4-5D6E-409C-BE32-E72D297353CC}">
                  <c16:uniqueId val="{00000008-4C4E-4C05-ADFA-7743256AC654}"/>
                </c:ext>
              </c:extLst>
            </c:dLbl>
            <c:dLbl>
              <c:idx val="9"/>
              <c:delete val="1"/>
              <c:extLst>
                <c:ext xmlns:c15="http://schemas.microsoft.com/office/drawing/2012/chart" uri="{CE6537A1-D6FC-4f65-9D91-7224C49458BB}"/>
                <c:ext xmlns:c16="http://schemas.microsoft.com/office/drawing/2014/chart" uri="{C3380CC4-5D6E-409C-BE32-E72D297353CC}">
                  <c16:uniqueId val="{00000009-4C4E-4C05-ADFA-7743256AC654}"/>
                </c:ext>
              </c:extLst>
            </c:dLbl>
            <c:dLbl>
              <c:idx val="10"/>
              <c:delete val="1"/>
              <c:extLst>
                <c:ext xmlns:c15="http://schemas.microsoft.com/office/drawing/2012/chart" uri="{CE6537A1-D6FC-4f65-9D91-7224C49458BB}"/>
                <c:ext xmlns:c16="http://schemas.microsoft.com/office/drawing/2014/chart" uri="{C3380CC4-5D6E-409C-BE32-E72D297353CC}">
                  <c16:uniqueId val="{0000000A-4C4E-4C05-ADFA-7743256AC654}"/>
                </c:ext>
              </c:extLst>
            </c:dLbl>
            <c:dLbl>
              <c:idx val="11"/>
              <c:delete val="1"/>
              <c:extLst>
                <c:ext xmlns:c15="http://schemas.microsoft.com/office/drawing/2012/chart" uri="{CE6537A1-D6FC-4f65-9D91-7224C49458BB}"/>
                <c:ext xmlns:c16="http://schemas.microsoft.com/office/drawing/2014/chart" uri="{C3380CC4-5D6E-409C-BE32-E72D297353CC}">
                  <c16:uniqueId val="{0000000B-4C4E-4C05-ADFA-7743256AC654}"/>
                </c:ext>
              </c:extLst>
            </c:dLbl>
            <c:dLbl>
              <c:idx val="12"/>
              <c:delete val="1"/>
              <c:extLst>
                <c:ext xmlns:c15="http://schemas.microsoft.com/office/drawing/2012/chart" uri="{CE6537A1-D6FC-4f65-9D91-7224C49458BB}"/>
                <c:ext xmlns:c16="http://schemas.microsoft.com/office/drawing/2014/chart" uri="{C3380CC4-5D6E-409C-BE32-E72D297353CC}">
                  <c16:uniqueId val="{0000000C-4C4E-4C05-ADFA-7743256AC654}"/>
                </c:ext>
              </c:extLst>
            </c:dLbl>
            <c:dLbl>
              <c:idx val="13"/>
              <c:delete val="1"/>
              <c:extLst>
                <c:ext xmlns:c15="http://schemas.microsoft.com/office/drawing/2012/chart" uri="{CE6537A1-D6FC-4f65-9D91-7224C49458BB}"/>
                <c:ext xmlns:c16="http://schemas.microsoft.com/office/drawing/2014/chart" uri="{C3380CC4-5D6E-409C-BE32-E72D297353CC}">
                  <c16:uniqueId val="{0000000D-4C4E-4C05-ADFA-7743256AC654}"/>
                </c:ext>
              </c:extLst>
            </c:dLbl>
            <c:dLbl>
              <c:idx val="14"/>
              <c:delete val="1"/>
              <c:extLst>
                <c:ext xmlns:c15="http://schemas.microsoft.com/office/drawing/2012/chart" uri="{CE6537A1-D6FC-4f65-9D91-7224C49458BB}"/>
                <c:ext xmlns:c16="http://schemas.microsoft.com/office/drawing/2014/chart" uri="{C3380CC4-5D6E-409C-BE32-E72D297353CC}">
                  <c16:uniqueId val="{0000000E-4C4E-4C05-ADFA-7743256AC654}"/>
                </c:ext>
              </c:extLst>
            </c:dLbl>
            <c:dLbl>
              <c:idx val="15"/>
              <c:delete val="1"/>
              <c:extLst>
                <c:ext xmlns:c15="http://schemas.microsoft.com/office/drawing/2012/chart" uri="{CE6537A1-D6FC-4f65-9D91-7224C49458BB}"/>
                <c:ext xmlns:c16="http://schemas.microsoft.com/office/drawing/2014/chart" uri="{C3380CC4-5D6E-409C-BE32-E72D297353CC}">
                  <c16:uniqueId val="{0000000F-4C4E-4C05-ADFA-7743256AC654}"/>
                </c:ext>
              </c:extLst>
            </c:dLbl>
            <c:dLbl>
              <c:idx val="16"/>
              <c:delete val="1"/>
              <c:extLst>
                <c:ext xmlns:c15="http://schemas.microsoft.com/office/drawing/2012/chart" uri="{CE6537A1-D6FC-4f65-9D91-7224C49458BB}"/>
                <c:ext xmlns:c16="http://schemas.microsoft.com/office/drawing/2014/chart" uri="{C3380CC4-5D6E-409C-BE32-E72D297353CC}">
                  <c16:uniqueId val="{00000010-4C4E-4C05-ADFA-7743256AC654}"/>
                </c:ext>
              </c:extLst>
            </c:dLbl>
            <c:dLbl>
              <c:idx val="17"/>
              <c:delete val="1"/>
              <c:extLst>
                <c:ext xmlns:c15="http://schemas.microsoft.com/office/drawing/2012/chart" uri="{CE6537A1-D6FC-4f65-9D91-7224C49458BB}"/>
                <c:ext xmlns:c16="http://schemas.microsoft.com/office/drawing/2014/chart" uri="{C3380CC4-5D6E-409C-BE32-E72D297353CC}">
                  <c16:uniqueId val="{00000011-4C4E-4C05-ADFA-7743256AC654}"/>
                </c:ext>
              </c:extLst>
            </c:dLbl>
            <c:dLbl>
              <c:idx val="18"/>
              <c:delete val="1"/>
              <c:extLst>
                <c:ext xmlns:c15="http://schemas.microsoft.com/office/drawing/2012/chart" uri="{CE6537A1-D6FC-4f65-9D91-7224C49458BB}"/>
                <c:ext xmlns:c16="http://schemas.microsoft.com/office/drawing/2014/chart" uri="{C3380CC4-5D6E-409C-BE32-E72D297353CC}">
                  <c16:uniqueId val="{00000012-4C4E-4C05-ADFA-7743256AC654}"/>
                </c:ext>
              </c:extLst>
            </c:dLbl>
            <c:dLbl>
              <c:idx val="19"/>
              <c:layout>
                <c:manualLayout>
                  <c:x val="0"/>
                  <c:y val="-0.1569713758079414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3-4C4E-4C05-ADFA-7743256AC654}"/>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Sheet1!$B$1:$U$1</c:f>
              <c:numCache>
                <c:formatCode>00</c:formatCode>
                <c:ptCount val="2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2019</c:v>
                </c:pt>
              </c:numCache>
            </c:numRef>
          </c:cat>
          <c:val>
            <c:numRef>
              <c:f>Sheet1!$B$2:$U$2</c:f>
              <c:numCache>
                <c:formatCode>#,##0.0</c:formatCode>
                <c:ptCount val="20"/>
                <c:pt idx="0">
                  <c:v>2382.8000000000002</c:v>
                </c:pt>
                <c:pt idx="1">
                  <c:v>2033.6</c:v>
                </c:pt>
                <c:pt idx="2">
                  <c:v>1515.6</c:v>
                </c:pt>
                <c:pt idx="3">
                  <c:v>1800.3</c:v>
                </c:pt>
                <c:pt idx="4">
                  <c:v>2373.1999999999998</c:v>
                </c:pt>
                <c:pt idx="5">
                  <c:v>2667.6</c:v>
                </c:pt>
                <c:pt idx="6">
                  <c:v>2758.7</c:v>
                </c:pt>
                <c:pt idx="7">
                  <c:v>3284</c:v>
                </c:pt>
                <c:pt idx="8">
                  <c:v>3466.2</c:v>
                </c:pt>
                <c:pt idx="9">
                  <c:v>3600.8</c:v>
                </c:pt>
                <c:pt idx="10">
                  <c:v>3958.5</c:v>
                </c:pt>
                <c:pt idx="11">
                  <c:v>4373.6000000000004</c:v>
                </c:pt>
                <c:pt idx="12">
                  <c:v>4697.3999999999996</c:v>
                </c:pt>
                <c:pt idx="13">
                  <c:v>5163.8999999999996</c:v>
                </c:pt>
                <c:pt idx="14">
                  <c:v>5683.2</c:v>
                </c:pt>
                <c:pt idx="15">
                  <c:v>5225.5</c:v>
                </c:pt>
                <c:pt idx="16">
                  <c:v>5363.8</c:v>
                </c:pt>
                <c:pt idx="17">
                  <c:v>5853.9</c:v>
                </c:pt>
                <c:pt idx="18">
                  <c:v>6539.6</c:v>
                </c:pt>
                <c:pt idx="19">
                  <c:v>6613.5</c:v>
                </c:pt>
              </c:numCache>
            </c:numRef>
          </c:val>
          <c:extLst>
            <c:ext xmlns:c16="http://schemas.microsoft.com/office/drawing/2014/chart" uri="{C3380CC4-5D6E-409C-BE32-E72D297353CC}">
              <c16:uniqueId val="{00000014-4C4E-4C05-ADFA-7743256AC654}"/>
            </c:ext>
          </c:extLst>
        </c:ser>
        <c:ser>
          <c:idx val="1"/>
          <c:order val="1"/>
          <c:tx>
            <c:strRef>
              <c:f>Sheet1!$A$3</c:f>
              <c:strCache>
                <c:ptCount val="1"/>
                <c:pt idx="0">
                  <c:v>Exports in Goods</c:v>
                </c:pt>
              </c:strCache>
            </c:strRef>
          </c:tx>
          <c:spPr>
            <a:solidFill>
              <a:srgbClr val="4BACC6">
                <a:lumMod val="75000"/>
                <a:alpha val="31000"/>
              </a:srgbClr>
            </a:solidFill>
            <a:ln w="12679">
              <a:solidFill>
                <a:srgbClr val="00CCFF"/>
              </a:solidFill>
              <a:prstDash val="solid"/>
            </a:ln>
          </c:spPr>
          <c:dLbls>
            <c:dLbl>
              <c:idx val="0"/>
              <c:delete val="1"/>
              <c:extLst>
                <c:ext xmlns:c15="http://schemas.microsoft.com/office/drawing/2012/chart" uri="{CE6537A1-D6FC-4f65-9D91-7224C49458BB}"/>
                <c:ext xmlns:c16="http://schemas.microsoft.com/office/drawing/2014/chart" uri="{C3380CC4-5D6E-409C-BE32-E72D297353CC}">
                  <c16:uniqueId val="{00000015-4C4E-4C05-ADFA-7743256AC654}"/>
                </c:ext>
              </c:extLst>
            </c:dLbl>
            <c:dLbl>
              <c:idx val="1"/>
              <c:delete val="1"/>
              <c:extLst>
                <c:ext xmlns:c15="http://schemas.microsoft.com/office/drawing/2012/chart" uri="{CE6537A1-D6FC-4f65-9D91-7224C49458BB}"/>
                <c:ext xmlns:c16="http://schemas.microsoft.com/office/drawing/2014/chart" uri="{C3380CC4-5D6E-409C-BE32-E72D297353CC}">
                  <c16:uniqueId val="{00000016-4C4E-4C05-ADFA-7743256AC654}"/>
                </c:ext>
              </c:extLst>
            </c:dLbl>
            <c:dLbl>
              <c:idx val="2"/>
              <c:delete val="1"/>
              <c:extLst>
                <c:ext xmlns:c15="http://schemas.microsoft.com/office/drawing/2012/chart" uri="{CE6537A1-D6FC-4f65-9D91-7224C49458BB}"/>
                <c:ext xmlns:c16="http://schemas.microsoft.com/office/drawing/2014/chart" uri="{C3380CC4-5D6E-409C-BE32-E72D297353CC}">
                  <c16:uniqueId val="{00000017-4C4E-4C05-ADFA-7743256AC654}"/>
                </c:ext>
              </c:extLst>
            </c:dLbl>
            <c:dLbl>
              <c:idx val="3"/>
              <c:delete val="1"/>
              <c:extLst>
                <c:ext xmlns:c15="http://schemas.microsoft.com/office/drawing/2012/chart" uri="{CE6537A1-D6FC-4f65-9D91-7224C49458BB}"/>
                <c:ext xmlns:c16="http://schemas.microsoft.com/office/drawing/2014/chart" uri="{C3380CC4-5D6E-409C-BE32-E72D297353CC}">
                  <c16:uniqueId val="{00000018-4C4E-4C05-ADFA-7743256AC654}"/>
                </c:ext>
              </c:extLst>
            </c:dLbl>
            <c:dLbl>
              <c:idx val="4"/>
              <c:delete val="1"/>
              <c:extLst>
                <c:ext xmlns:c15="http://schemas.microsoft.com/office/drawing/2012/chart" uri="{CE6537A1-D6FC-4f65-9D91-7224C49458BB}"/>
                <c:ext xmlns:c16="http://schemas.microsoft.com/office/drawing/2014/chart" uri="{C3380CC4-5D6E-409C-BE32-E72D297353CC}">
                  <c16:uniqueId val="{00000019-4C4E-4C05-ADFA-7743256AC654}"/>
                </c:ext>
              </c:extLst>
            </c:dLbl>
            <c:dLbl>
              <c:idx val="5"/>
              <c:delete val="1"/>
              <c:extLst>
                <c:ext xmlns:c15="http://schemas.microsoft.com/office/drawing/2012/chart" uri="{CE6537A1-D6FC-4f65-9D91-7224C49458BB}"/>
                <c:ext xmlns:c16="http://schemas.microsoft.com/office/drawing/2014/chart" uri="{C3380CC4-5D6E-409C-BE32-E72D297353CC}">
                  <c16:uniqueId val="{0000001A-4C4E-4C05-ADFA-7743256AC654}"/>
                </c:ext>
              </c:extLst>
            </c:dLbl>
            <c:dLbl>
              <c:idx val="6"/>
              <c:delete val="1"/>
              <c:extLst>
                <c:ext xmlns:c15="http://schemas.microsoft.com/office/drawing/2012/chart" uri="{CE6537A1-D6FC-4f65-9D91-7224C49458BB}"/>
                <c:ext xmlns:c16="http://schemas.microsoft.com/office/drawing/2014/chart" uri="{C3380CC4-5D6E-409C-BE32-E72D297353CC}">
                  <c16:uniqueId val="{0000001B-4C4E-4C05-ADFA-7743256AC654}"/>
                </c:ext>
              </c:extLst>
            </c:dLbl>
            <c:dLbl>
              <c:idx val="7"/>
              <c:delete val="1"/>
              <c:extLst>
                <c:ext xmlns:c15="http://schemas.microsoft.com/office/drawing/2012/chart" uri="{CE6537A1-D6FC-4f65-9D91-7224C49458BB}"/>
                <c:ext xmlns:c16="http://schemas.microsoft.com/office/drawing/2014/chart" uri="{C3380CC4-5D6E-409C-BE32-E72D297353CC}">
                  <c16:uniqueId val="{0000001C-4C4E-4C05-ADFA-7743256AC654}"/>
                </c:ext>
              </c:extLst>
            </c:dLbl>
            <c:dLbl>
              <c:idx val="8"/>
              <c:delete val="1"/>
              <c:extLst>
                <c:ext xmlns:c15="http://schemas.microsoft.com/office/drawing/2012/chart" uri="{CE6537A1-D6FC-4f65-9D91-7224C49458BB}"/>
                <c:ext xmlns:c16="http://schemas.microsoft.com/office/drawing/2014/chart" uri="{C3380CC4-5D6E-409C-BE32-E72D297353CC}">
                  <c16:uniqueId val="{0000001D-4C4E-4C05-ADFA-7743256AC654}"/>
                </c:ext>
              </c:extLst>
            </c:dLbl>
            <c:dLbl>
              <c:idx val="9"/>
              <c:delete val="1"/>
              <c:extLst>
                <c:ext xmlns:c15="http://schemas.microsoft.com/office/drawing/2012/chart" uri="{CE6537A1-D6FC-4f65-9D91-7224C49458BB}"/>
                <c:ext xmlns:c16="http://schemas.microsoft.com/office/drawing/2014/chart" uri="{C3380CC4-5D6E-409C-BE32-E72D297353CC}">
                  <c16:uniqueId val="{0000001E-4C4E-4C05-ADFA-7743256AC654}"/>
                </c:ext>
              </c:extLst>
            </c:dLbl>
            <c:dLbl>
              <c:idx val="10"/>
              <c:delete val="1"/>
              <c:extLst>
                <c:ext xmlns:c15="http://schemas.microsoft.com/office/drawing/2012/chart" uri="{CE6537A1-D6FC-4f65-9D91-7224C49458BB}"/>
                <c:ext xmlns:c16="http://schemas.microsoft.com/office/drawing/2014/chart" uri="{C3380CC4-5D6E-409C-BE32-E72D297353CC}">
                  <c16:uniqueId val="{0000001F-4C4E-4C05-ADFA-7743256AC654}"/>
                </c:ext>
              </c:extLst>
            </c:dLbl>
            <c:dLbl>
              <c:idx val="11"/>
              <c:delete val="1"/>
              <c:extLst>
                <c:ext xmlns:c15="http://schemas.microsoft.com/office/drawing/2012/chart" uri="{CE6537A1-D6FC-4f65-9D91-7224C49458BB}"/>
                <c:ext xmlns:c16="http://schemas.microsoft.com/office/drawing/2014/chart" uri="{C3380CC4-5D6E-409C-BE32-E72D297353CC}">
                  <c16:uniqueId val="{00000020-4C4E-4C05-ADFA-7743256AC654}"/>
                </c:ext>
              </c:extLst>
            </c:dLbl>
            <c:dLbl>
              <c:idx val="12"/>
              <c:delete val="1"/>
              <c:extLst>
                <c:ext xmlns:c15="http://schemas.microsoft.com/office/drawing/2012/chart" uri="{CE6537A1-D6FC-4f65-9D91-7224C49458BB}"/>
                <c:ext xmlns:c16="http://schemas.microsoft.com/office/drawing/2014/chart" uri="{C3380CC4-5D6E-409C-BE32-E72D297353CC}">
                  <c16:uniqueId val="{00000021-4C4E-4C05-ADFA-7743256AC654}"/>
                </c:ext>
              </c:extLst>
            </c:dLbl>
            <c:dLbl>
              <c:idx val="13"/>
              <c:delete val="1"/>
              <c:extLst>
                <c:ext xmlns:c15="http://schemas.microsoft.com/office/drawing/2012/chart" uri="{CE6537A1-D6FC-4f65-9D91-7224C49458BB}"/>
                <c:ext xmlns:c16="http://schemas.microsoft.com/office/drawing/2014/chart" uri="{C3380CC4-5D6E-409C-BE32-E72D297353CC}">
                  <c16:uniqueId val="{00000022-4C4E-4C05-ADFA-7743256AC654}"/>
                </c:ext>
              </c:extLst>
            </c:dLbl>
            <c:dLbl>
              <c:idx val="14"/>
              <c:delete val="1"/>
              <c:extLst>
                <c:ext xmlns:c15="http://schemas.microsoft.com/office/drawing/2012/chart" uri="{CE6537A1-D6FC-4f65-9D91-7224C49458BB}"/>
                <c:ext xmlns:c16="http://schemas.microsoft.com/office/drawing/2014/chart" uri="{C3380CC4-5D6E-409C-BE32-E72D297353CC}">
                  <c16:uniqueId val="{00000023-4C4E-4C05-ADFA-7743256AC654}"/>
                </c:ext>
              </c:extLst>
            </c:dLbl>
            <c:dLbl>
              <c:idx val="15"/>
              <c:delete val="1"/>
              <c:extLst>
                <c:ext xmlns:c15="http://schemas.microsoft.com/office/drawing/2012/chart" uri="{CE6537A1-D6FC-4f65-9D91-7224C49458BB}"/>
                <c:ext xmlns:c16="http://schemas.microsoft.com/office/drawing/2014/chart" uri="{C3380CC4-5D6E-409C-BE32-E72D297353CC}">
                  <c16:uniqueId val="{00000024-4C4E-4C05-ADFA-7743256AC654}"/>
                </c:ext>
              </c:extLst>
            </c:dLbl>
            <c:dLbl>
              <c:idx val="16"/>
              <c:delete val="1"/>
              <c:extLst>
                <c:ext xmlns:c15="http://schemas.microsoft.com/office/drawing/2012/chart" uri="{CE6537A1-D6FC-4f65-9D91-7224C49458BB}"/>
                <c:ext xmlns:c16="http://schemas.microsoft.com/office/drawing/2014/chart" uri="{C3380CC4-5D6E-409C-BE32-E72D297353CC}">
                  <c16:uniqueId val="{00000025-4C4E-4C05-ADFA-7743256AC654}"/>
                </c:ext>
              </c:extLst>
            </c:dLbl>
            <c:dLbl>
              <c:idx val="17"/>
              <c:delete val="1"/>
              <c:extLst>
                <c:ext xmlns:c15="http://schemas.microsoft.com/office/drawing/2012/chart" uri="{CE6537A1-D6FC-4f65-9D91-7224C49458BB}"/>
                <c:ext xmlns:c16="http://schemas.microsoft.com/office/drawing/2014/chart" uri="{C3380CC4-5D6E-409C-BE32-E72D297353CC}">
                  <c16:uniqueId val="{00000026-4C4E-4C05-ADFA-7743256AC654}"/>
                </c:ext>
              </c:extLst>
            </c:dLbl>
            <c:dLbl>
              <c:idx val="18"/>
              <c:delete val="1"/>
              <c:extLst>
                <c:ext xmlns:c15="http://schemas.microsoft.com/office/drawing/2012/chart" uri="{CE6537A1-D6FC-4f65-9D91-7224C49458BB}"/>
                <c:ext xmlns:c16="http://schemas.microsoft.com/office/drawing/2014/chart" uri="{C3380CC4-5D6E-409C-BE32-E72D297353CC}">
                  <c16:uniqueId val="{00000027-4C4E-4C05-ADFA-7743256AC654}"/>
                </c:ext>
              </c:extLst>
            </c:dLbl>
            <c:dLbl>
              <c:idx val="19"/>
              <c:layout>
                <c:manualLayout>
                  <c:x val="0"/>
                  <c:y val="-5.540166204986166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28-4C4E-4C05-ADFA-7743256AC654}"/>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Sheet1!$B$1:$U$1</c:f>
              <c:numCache>
                <c:formatCode>00</c:formatCode>
                <c:ptCount val="2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2019</c:v>
                </c:pt>
              </c:numCache>
            </c:numRef>
          </c:cat>
          <c:val>
            <c:numRef>
              <c:f>Sheet1!$B$3:$U$3</c:f>
              <c:numCache>
                <c:formatCode>#,##0.0</c:formatCode>
                <c:ptCount val="20"/>
                <c:pt idx="0">
                  <c:v>400.9</c:v>
                </c:pt>
                <c:pt idx="1">
                  <c:v>290.3</c:v>
                </c:pt>
                <c:pt idx="2">
                  <c:v>240.9</c:v>
                </c:pt>
                <c:pt idx="3">
                  <c:v>279.7</c:v>
                </c:pt>
                <c:pt idx="4">
                  <c:v>312.7</c:v>
                </c:pt>
                <c:pt idx="5">
                  <c:v>335.4</c:v>
                </c:pt>
                <c:pt idx="6">
                  <c:v>366.7</c:v>
                </c:pt>
                <c:pt idx="7">
                  <c:v>513</c:v>
                </c:pt>
                <c:pt idx="8">
                  <c:v>558.4</c:v>
                </c:pt>
                <c:pt idx="9">
                  <c:v>518.4</c:v>
                </c:pt>
                <c:pt idx="10">
                  <c:v>575.5</c:v>
                </c:pt>
                <c:pt idx="11">
                  <c:v>745.7</c:v>
                </c:pt>
                <c:pt idx="12">
                  <c:v>782.4</c:v>
                </c:pt>
                <c:pt idx="13">
                  <c:v>900.6</c:v>
                </c:pt>
                <c:pt idx="14">
                  <c:v>943.7</c:v>
                </c:pt>
                <c:pt idx="15">
                  <c:v>957.8</c:v>
                </c:pt>
                <c:pt idx="16">
                  <c:v>926.5</c:v>
                </c:pt>
                <c:pt idx="17">
                  <c:v>1064.9000000000001</c:v>
                </c:pt>
                <c:pt idx="18">
                  <c:v>1155.5999999999999</c:v>
                </c:pt>
                <c:pt idx="19">
                  <c:v>1103.8</c:v>
                </c:pt>
              </c:numCache>
            </c:numRef>
          </c:val>
          <c:extLst>
            <c:ext xmlns:c16="http://schemas.microsoft.com/office/drawing/2014/chart" uri="{C3380CC4-5D6E-409C-BE32-E72D297353CC}">
              <c16:uniqueId val="{00000029-4C4E-4C05-ADFA-7743256AC654}"/>
            </c:ext>
          </c:extLst>
        </c:ser>
        <c:ser>
          <c:idx val="2"/>
          <c:order val="2"/>
          <c:tx>
            <c:strRef>
              <c:f>Sheet1!$A$4</c:f>
              <c:strCache>
                <c:ptCount val="1"/>
                <c:pt idx="0">
                  <c:v> Net Trade Balance for Goods</c:v>
                </c:pt>
              </c:strCache>
            </c:strRef>
          </c:tx>
          <c:spPr>
            <a:solidFill>
              <a:schemeClr val="accent5">
                <a:lumMod val="75000"/>
              </a:schemeClr>
            </a:solidFill>
          </c:spPr>
          <c:dLbls>
            <c:dLbl>
              <c:idx val="0"/>
              <c:delete val="1"/>
              <c:extLst>
                <c:ext xmlns:c15="http://schemas.microsoft.com/office/drawing/2012/chart" uri="{CE6537A1-D6FC-4f65-9D91-7224C49458BB}"/>
                <c:ext xmlns:c16="http://schemas.microsoft.com/office/drawing/2014/chart" uri="{C3380CC4-5D6E-409C-BE32-E72D297353CC}">
                  <c16:uniqueId val="{0000002A-4C4E-4C05-ADFA-7743256AC654}"/>
                </c:ext>
              </c:extLst>
            </c:dLbl>
            <c:dLbl>
              <c:idx val="1"/>
              <c:delete val="1"/>
              <c:extLst>
                <c:ext xmlns:c15="http://schemas.microsoft.com/office/drawing/2012/chart" uri="{CE6537A1-D6FC-4f65-9D91-7224C49458BB}"/>
                <c:ext xmlns:c16="http://schemas.microsoft.com/office/drawing/2014/chart" uri="{C3380CC4-5D6E-409C-BE32-E72D297353CC}">
                  <c16:uniqueId val="{0000002B-4C4E-4C05-ADFA-7743256AC654}"/>
                </c:ext>
              </c:extLst>
            </c:dLbl>
            <c:dLbl>
              <c:idx val="2"/>
              <c:delete val="1"/>
              <c:extLst>
                <c:ext xmlns:c15="http://schemas.microsoft.com/office/drawing/2012/chart" uri="{CE6537A1-D6FC-4f65-9D91-7224C49458BB}"/>
                <c:ext xmlns:c16="http://schemas.microsoft.com/office/drawing/2014/chart" uri="{C3380CC4-5D6E-409C-BE32-E72D297353CC}">
                  <c16:uniqueId val="{0000002C-4C4E-4C05-ADFA-7743256AC654}"/>
                </c:ext>
              </c:extLst>
            </c:dLbl>
            <c:dLbl>
              <c:idx val="3"/>
              <c:delete val="1"/>
              <c:extLst>
                <c:ext xmlns:c15="http://schemas.microsoft.com/office/drawing/2012/chart" uri="{CE6537A1-D6FC-4f65-9D91-7224C49458BB}"/>
                <c:ext xmlns:c16="http://schemas.microsoft.com/office/drawing/2014/chart" uri="{C3380CC4-5D6E-409C-BE32-E72D297353CC}">
                  <c16:uniqueId val="{0000002D-4C4E-4C05-ADFA-7743256AC654}"/>
                </c:ext>
              </c:extLst>
            </c:dLbl>
            <c:dLbl>
              <c:idx val="4"/>
              <c:delete val="1"/>
              <c:extLst>
                <c:ext xmlns:c15="http://schemas.microsoft.com/office/drawing/2012/chart" uri="{CE6537A1-D6FC-4f65-9D91-7224C49458BB}"/>
                <c:ext xmlns:c16="http://schemas.microsoft.com/office/drawing/2014/chart" uri="{C3380CC4-5D6E-409C-BE32-E72D297353CC}">
                  <c16:uniqueId val="{0000002E-4C4E-4C05-ADFA-7743256AC654}"/>
                </c:ext>
              </c:extLst>
            </c:dLbl>
            <c:dLbl>
              <c:idx val="5"/>
              <c:delete val="1"/>
              <c:extLst>
                <c:ext xmlns:c15="http://schemas.microsoft.com/office/drawing/2012/chart" uri="{CE6537A1-D6FC-4f65-9D91-7224C49458BB}"/>
                <c:ext xmlns:c16="http://schemas.microsoft.com/office/drawing/2014/chart" uri="{C3380CC4-5D6E-409C-BE32-E72D297353CC}">
                  <c16:uniqueId val="{0000002F-4C4E-4C05-ADFA-7743256AC654}"/>
                </c:ext>
              </c:extLst>
            </c:dLbl>
            <c:dLbl>
              <c:idx val="6"/>
              <c:delete val="1"/>
              <c:extLst>
                <c:ext xmlns:c15="http://schemas.microsoft.com/office/drawing/2012/chart" uri="{CE6537A1-D6FC-4f65-9D91-7224C49458BB}"/>
                <c:ext xmlns:c16="http://schemas.microsoft.com/office/drawing/2014/chart" uri="{C3380CC4-5D6E-409C-BE32-E72D297353CC}">
                  <c16:uniqueId val="{00000030-4C4E-4C05-ADFA-7743256AC654}"/>
                </c:ext>
              </c:extLst>
            </c:dLbl>
            <c:dLbl>
              <c:idx val="7"/>
              <c:delete val="1"/>
              <c:extLst>
                <c:ext xmlns:c15="http://schemas.microsoft.com/office/drawing/2012/chart" uri="{CE6537A1-D6FC-4f65-9D91-7224C49458BB}"/>
                <c:ext xmlns:c16="http://schemas.microsoft.com/office/drawing/2014/chart" uri="{C3380CC4-5D6E-409C-BE32-E72D297353CC}">
                  <c16:uniqueId val="{00000031-4C4E-4C05-ADFA-7743256AC654}"/>
                </c:ext>
              </c:extLst>
            </c:dLbl>
            <c:dLbl>
              <c:idx val="8"/>
              <c:delete val="1"/>
              <c:extLst>
                <c:ext xmlns:c15="http://schemas.microsoft.com/office/drawing/2012/chart" uri="{CE6537A1-D6FC-4f65-9D91-7224C49458BB}"/>
                <c:ext xmlns:c16="http://schemas.microsoft.com/office/drawing/2014/chart" uri="{C3380CC4-5D6E-409C-BE32-E72D297353CC}">
                  <c16:uniqueId val="{00000032-4C4E-4C05-ADFA-7743256AC654}"/>
                </c:ext>
              </c:extLst>
            </c:dLbl>
            <c:dLbl>
              <c:idx val="9"/>
              <c:delete val="1"/>
              <c:extLst>
                <c:ext xmlns:c15="http://schemas.microsoft.com/office/drawing/2012/chart" uri="{CE6537A1-D6FC-4f65-9D91-7224C49458BB}"/>
                <c:ext xmlns:c16="http://schemas.microsoft.com/office/drawing/2014/chart" uri="{C3380CC4-5D6E-409C-BE32-E72D297353CC}">
                  <c16:uniqueId val="{00000033-4C4E-4C05-ADFA-7743256AC654}"/>
                </c:ext>
              </c:extLst>
            </c:dLbl>
            <c:dLbl>
              <c:idx val="10"/>
              <c:delete val="1"/>
              <c:extLst>
                <c:ext xmlns:c15="http://schemas.microsoft.com/office/drawing/2012/chart" uri="{CE6537A1-D6FC-4f65-9D91-7224C49458BB}"/>
                <c:ext xmlns:c16="http://schemas.microsoft.com/office/drawing/2014/chart" uri="{C3380CC4-5D6E-409C-BE32-E72D297353CC}">
                  <c16:uniqueId val="{00000034-4C4E-4C05-ADFA-7743256AC654}"/>
                </c:ext>
              </c:extLst>
            </c:dLbl>
            <c:dLbl>
              <c:idx val="11"/>
              <c:delete val="1"/>
              <c:extLst>
                <c:ext xmlns:c15="http://schemas.microsoft.com/office/drawing/2012/chart" uri="{CE6537A1-D6FC-4f65-9D91-7224C49458BB}"/>
                <c:ext xmlns:c16="http://schemas.microsoft.com/office/drawing/2014/chart" uri="{C3380CC4-5D6E-409C-BE32-E72D297353CC}">
                  <c16:uniqueId val="{00000035-4C4E-4C05-ADFA-7743256AC654}"/>
                </c:ext>
              </c:extLst>
            </c:dLbl>
            <c:dLbl>
              <c:idx val="12"/>
              <c:delete val="1"/>
              <c:extLst>
                <c:ext xmlns:c15="http://schemas.microsoft.com/office/drawing/2012/chart" uri="{CE6537A1-D6FC-4f65-9D91-7224C49458BB}"/>
                <c:ext xmlns:c16="http://schemas.microsoft.com/office/drawing/2014/chart" uri="{C3380CC4-5D6E-409C-BE32-E72D297353CC}">
                  <c16:uniqueId val="{00000036-4C4E-4C05-ADFA-7743256AC654}"/>
                </c:ext>
              </c:extLst>
            </c:dLbl>
            <c:dLbl>
              <c:idx val="13"/>
              <c:delete val="1"/>
              <c:extLst>
                <c:ext xmlns:c15="http://schemas.microsoft.com/office/drawing/2012/chart" uri="{CE6537A1-D6FC-4f65-9D91-7224C49458BB}"/>
                <c:ext xmlns:c16="http://schemas.microsoft.com/office/drawing/2014/chart" uri="{C3380CC4-5D6E-409C-BE32-E72D297353CC}">
                  <c16:uniqueId val="{00000037-4C4E-4C05-ADFA-7743256AC654}"/>
                </c:ext>
              </c:extLst>
            </c:dLbl>
            <c:dLbl>
              <c:idx val="14"/>
              <c:delete val="1"/>
              <c:extLst>
                <c:ext xmlns:c15="http://schemas.microsoft.com/office/drawing/2012/chart" uri="{CE6537A1-D6FC-4f65-9D91-7224C49458BB}"/>
                <c:ext xmlns:c16="http://schemas.microsoft.com/office/drawing/2014/chart" uri="{C3380CC4-5D6E-409C-BE32-E72D297353CC}">
                  <c16:uniqueId val="{00000038-4C4E-4C05-ADFA-7743256AC654}"/>
                </c:ext>
              </c:extLst>
            </c:dLbl>
            <c:dLbl>
              <c:idx val="15"/>
              <c:delete val="1"/>
              <c:extLst>
                <c:ext xmlns:c15="http://schemas.microsoft.com/office/drawing/2012/chart" uri="{CE6537A1-D6FC-4f65-9D91-7224C49458BB}"/>
                <c:ext xmlns:c16="http://schemas.microsoft.com/office/drawing/2014/chart" uri="{C3380CC4-5D6E-409C-BE32-E72D297353CC}">
                  <c16:uniqueId val="{00000039-4C4E-4C05-ADFA-7743256AC654}"/>
                </c:ext>
              </c:extLst>
            </c:dLbl>
            <c:dLbl>
              <c:idx val="16"/>
              <c:delete val="1"/>
              <c:extLst>
                <c:ext xmlns:c15="http://schemas.microsoft.com/office/drawing/2012/chart" uri="{CE6537A1-D6FC-4f65-9D91-7224C49458BB}"/>
                <c:ext xmlns:c16="http://schemas.microsoft.com/office/drawing/2014/chart" uri="{C3380CC4-5D6E-409C-BE32-E72D297353CC}">
                  <c16:uniqueId val="{0000003A-4C4E-4C05-ADFA-7743256AC654}"/>
                </c:ext>
              </c:extLst>
            </c:dLbl>
            <c:dLbl>
              <c:idx val="17"/>
              <c:delete val="1"/>
              <c:extLst>
                <c:ext xmlns:c15="http://schemas.microsoft.com/office/drawing/2012/chart" uri="{CE6537A1-D6FC-4f65-9D91-7224C49458BB}"/>
                <c:ext xmlns:c16="http://schemas.microsoft.com/office/drawing/2014/chart" uri="{C3380CC4-5D6E-409C-BE32-E72D297353CC}">
                  <c16:uniqueId val="{0000003B-4C4E-4C05-ADFA-7743256AC654}"/>
                </c:ext>
              </c:extLst>
            </c:dLbl>
            <c:dLbl>
              <c:idx val="18"/>
              <c:delete val="1"/>
              <c:extLst>
                <c:ext xmlns:c15="http://schemas.microsoft.com/office/drawing/2012/chart" uri="{CE6537A1-D6FC-4f65-9D91-7224C49458BB}"/>
                <c:ext xmlns:c16="http://schemas.microsoft.com/office/drawing/2014/chart" uri="{C3380CC4-5D6E-409C-BE32-E72D297353CC}">
                  <c16:uniqueId val="{0000003C-4C4E-4C05-ADFA-7743256AC654}"/>
                </c:ext>
              </c:extLst>
            </c:dLbl>
            <c:dLbl>
              <c:idx val="19"/>
              <c:layout>
                <c:manualLayout>
                  <c:x val="0"/>
                  <c:y val="0.14773776546629797"/>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3D-4C4E-4C05-ADFA-7743256AC654}"/>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Sheet1!$B$1:$U$1</c:f>
              <c:numCache>
                <c:formatCode>00</c:formatCode>
                <c:ptCount val="2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2019</c:v>
                </c:pt>
              </c:numCache>
            </c:numRef>
          </c:cat>
          <c:val>
            <c:numRef>
              <c:f>Sheet1!$B$4:$U$4</c:f>
              <c:numCache>
                <c:formatCode>#,##0.0</c:formatCode>
                <c:ptCount val="20"/>
                <c:pt idx="0">
                  <c:v>-1981.9</c:v>
                </c:pt>
                <c:pt idx="1">
                  <c:v>-1743.3</c:v>
                </c:pt>
                <c:pt idx="2">
                  <c:v>-1274.6999999999998</c:v>
                </c:pt>
                <c:pt idx="3">
                  <c:v>-1520.6</c:v>
                </c:pt>
                <c:pt idx="4">
                  <c:v>-2060.5</c:v>
                </c:pt>
                <c:pt idx="5">
                  <c:v>-2332.1999999999998</c:v>
                </c:pt>
                <c:pt idx="6">
                  <c:v>-2392</c:v>
                </c:pt>
                <c:pt idx="7">
                  <c:v>-2771</c:v>
                </c:pt>
                <c:pt idx="8">
                  <c:v>-2907.7999999999997</c:v>
                </c:pt>
                <c:pt idx="9">
                  <c:v>-3082.4</c:v>
                </c:pt>
                <c:pt idx="10">
                  <c:v>-3383</c:v>
                </c:pt>
                <c:pt idx="11">
                  <c:v>-3627.9000000000005</c:v>
                </c:pt>
                <c:pt idx="12">
                  <c:v>-3914.9999999999995</c:v>
                </c:pt>
                <c:pt idx="13">
                  <c:v>-4263.2999999999993</c:v>
                </c:pt>
                <c:pt idx="14">
                  <c:v>-4739.5</c:v>
                </c:pt>
                <c:pt idx="15">
                  <c:v>-4267.7</c:v>
                </c:pt>
                <c:pt idx="16">
                  <c:v>-4437.3</c:v>
                </c:pt>
                <c:pt idx="17">
                  <c:v>-4789</c:v>
                </c:pt>
                <c:pt idx="18">
                  <c:v>-5384</c:v>
                </c:pt>
                <c:pt idx="19">
                  <c:v>-5509.6</c:v>
                </c:pt>
              </c:numCache>
            </c:numRef>
          </c:val>
          <c:extLst>
            <c:ext xmlns:c16="http://schemas.microsoft.com/office/drawing/2014/chart" uri="{C3380CC4-5D6E-409C-BE32-E72D297353CC}">
              <c16:uniqueId val="{0000003E-4C4E-4C05-ADFA-7743256AC654}"/>
            </c:ext>
          </c:extLst>
        </c:ser>
        <c:dLbls>
          <c:showLegendKey val="0"/>
          <c:showVal val="1"/>
          <c:showCatName val="0"/>
          <c:showSerName val="0"/>
          <c:showPercent val="0"/>
          <c:showBubbleSize val="0"/>
        </c:dLbls>
        <c:axId val="117821440"/>
        <c:axId val="117823360"/>
      </c:areaChart>
      <c:catAx>
        <c:axId val="117821440"/>
        <c:scaling>
          <c:orientation val="minMax"/>
        </c:scaling>
        <c:delete val="0"/>
        <c:axPos val="b"/>
        <c:title>
          <c:tx>
            <c:rich>
              <a:bodyPr/>
              <a:lstStyle/>
              <a:p>
                <a:pPr algn="l">
                  <a:defRPr b="1"/>
                </a:pPr>
                <a:r>
                  <a:rPr lang="en-US" b="1"/>
                  <a:t>Year</a:t>
                </a:r>
                <a:endParaRPr lang="ar-SA" b="1"/>
              </a:p>
            </c:rich>
          </c:tx>
          <c:layout>
            <c:manualLayout>
              <c:xMode val="edge"/>
              <c:yMode val="edge"/>
              <c:x val="0.45668154371226033"/>
              <c:y val="0.9189189765913407"/>
            </c:manualLayout>
          </c:layout>
          <c:overlay val="0"/>
          <c:spPr>
            <a:noFill/>
            <a:ln w="25358">
              <a:noFill/>
            </a:ln>
          </c:spPr>
        </c:title>
        <c:numFmt formatCode="00" sourceLinked="1"/>
        <c:majorTickMark val="out"/>
        <c:minorTickMark val="none"/>
        <c:tickLblPos val="nextTo"/>
        <c:spPr>
          <a:ln w="3170">
            <a:solidFill>
              <a:srgbClr val="000000"/>
            </a:solidFill>
            <a:prstDash val="solid"/>
          </a:ln>
        </c:spPr>
        <c:txPr>
          <a:bodyPr rot="0" vert="horz"/>
          <a:lstStyle/>
          <a:p>
            <a:pPr>
              <a:defRPr/>
            </a:pPr>
            <a:endParaRPr lang="ar-SA"/>
          </a:p>
        </c:txPr>
        <c:crossAx val="117823360"/>
        <c:crosses val="autoZero"/>
        <c:auto val="1"/>
        <c:lblAlgn val="ctr"/>
        <c:lblOffset val="100"/>
        <c:tickLblSkip val="1"/>
        <c:tickMarkSkip val="1"/>
        <c:noMultiLvlLbl val="0"/>
      </c:catAx>
      <c:valAx>
        <c:axId val="117823360"/>
        <c:scaling>
          <c:orientation val="minMax"/>
        </c:scaling>
        <c:delete val="0"/>
        <c:axPos val="l"/>
        <c:majorGridlines>
          <c:spPr>
            <a:ln>
              <a:solidFill>
                <a:schemeClr val="bg1">
                  <a:lumMod val="95000"/>
                </a:schemeClr>
              </a:solidFill>
            </a:ln>
          </c:spPr>
        </c:majorGridlines>
        <c:title>
          <c:tx>
            <c:rich>
              <a:bodyPr/>
              <a:lstStyle/>
              <a:p>
                <a:pPr>
                  <a:defRPr b="1"/>
                </a:pPr>
                <a:r>
                  <a:rPr lang="en-US" b="1"/>
                  <a:t>Value in million USD</a:t>
                </a:r>
                <a:endParaRPr lang="ar-SA" b="1"/>
              </a:p>
            </c:rich>
          </c:tx>
          <c:layout>
            <c:manualLayout>
              <c:xMode val="edge"/>
              <c:yMode val="edge"/>
              <c:x val="2.6253609871357313E-2"/>
              <c:y val="0.37414057998847705"/>
            </c:manualLayout>
          </c:layout>
          <c:overlay val="0"/>
          <c:spPr>
            <a:noFill/>
            <a:ln w="25358">
              <a:noFill/>
            </a:ln>
          </c:spPr>
        </c:title>
        <c:numFmt formatCode="#,##0" sourceLinked="0"/>
        <c:majorTickMark val="out"/>
        <c:minorTickMark val="none"/>
        <c:tickLblPos val="nextTo"/>
        <c:spPr>
          <a:ln w="3170">
            <a:solidFill>
              <a:srgbClr val="000000"/>
            </a:solidFill>
            <a:prstDash val="solid"/>
          </a:ln>
        </c:spPr>
        <c:txPr>
          <a:bodyPr rot="0" vert="horz"/>
          <a:lstStyle/>
          <a:p>
            <a:pPr>
              <a:defRPr/>
            </a:pPr>
            <a:endParaRPr lang="ar-SA"/>
          </a:p>
        </c:txPr>
        <c:crossAx val="117821440"/>
        <c:crosses val="autoZero"/>
        <c:crossBetween val="midCat"/>
      </c:valAx>
    </c:plotArea>
    <c:legend>
      <c:legendPos val="t"/>
      <c:layout>
        <c:manualLayout>
          <c:xMode val="edge"/>
          <c:yMode val="edge"/>
          <c:x val="3.1504331845628772E-2"/>
          <c:y val="2.3309789528341472E-2"/>
          <c:w val="0.91920709963761749"/>
          <c:h val="6.4551636330011583E-2"/>
        </c:manualLayout>
      </c:layout>
      <c:overlay val="0"/>
      <c:spPr>
        <a:noFill/>
        <a:ln w="3170">
          <a:solidFill>
            <a:srgbClr val="000000"/>
          </a:solidFill>
          <a:prstDash val="solid"/>
        </a:ln>
      </c:spPr>
    </c:legend>
    <c:plotVisOnly val="1"/>
    <c:dispBlanksAs val="zero"/>
    <c:showDLblsOverMax val="0"/>
  </c:chart>
  <c:spPr>
    <a:solidFill>
      <a:srgbClr val="FFFFFF"/>
    </a:solidFill>
    <a:ln>
      <a:solidFill>
        <a:srgbClr val="000000"/>
      </a:solidFill>
    </a:ln>
  </c:spPr>
  <c:txPr>
    <a:bodyPr/>
    <a:lstStyle/>
    <a:p>
      <a:pPr algn="just">
        <a:defRPr sz="700" b="0" i="0" u="none" strike="noStrike" baseline="0">
          <a:solidFill>
            <a:srgbClr val="000000"/>
          </a:solidFill>
          <a:latin typeface="Arial"/>
          <a:ea typeface="Arial"/>
          <a:cs typeface="Arial"/>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CC28F-8D16-42BC-A9B8-56BFD1FC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22</Pages>
  <Words>5658</Words>
  <Characters>32251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Land Use</vt:lpstr>
    </vt:vector>
  </TitlesOfParts>
  <Company>PCBS</Company>
  <LinksUpToDate>false</LinksUpToDate>
  <CharactersWithSpaces>37834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 Use</dc:title>
  <dc:creator>YOUSEF</dc:creator>
  <cp:lastModifiedBy>Maen Salhab</cp:lastModifiedBy>
  <cp:revision>131</cp:revision>
  <cp:lastPrinted>2020-12-27T08:22:00Z</cp:lastPrinted>
  <dcterms:created xsi:type="dcterms:W3CDTF">2019-11-28T07:54:00Z</dcterms:created>
  <dcterms:modified xsi:type="dcterms:W3CDTF">2020-12-27T08:26:00Z</dcterms:modified>
</cp:coreProperties>
</file>